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A845">
      <w:pPr>
        <w:pStyle w:val="99"/>
        <w:tabs>
          <w:tab w:val="right" w:pos="9639"/>
          <w:tab w:val="right" w:pos="13323"/>
        </w:tabs>
        <w:spacing w:afterLines="50"/>
        <w:jc w:val="both"/>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 xml:space="preserve">3GPP TSG-RAN WG2 Meeting </w:t>
      </w:r>
      <w:r>
        <w:rPr>
          <w:rFonts w:hint="default" w:ascii="Arial" w:hAnsi="Arial" w:cs="Arial" w:eastAsiaTheme="minorEastAsia"/>
          <w:b/>
          <w:sz w:val="22"/>
          <w:szCs w:val="22"/>
          <w:highlight w:val="none"/>
          <w:lang w:val="en-US" w:eastAsia="zh-CN" w:bidi="ar-SA"/>
        </w:rPr>
        <w:t>#13</w:t>
      </w:r>
      <w:r>
        <w:rPr>
          <w:rFonts w:hint="eastAsia" w:ascii="Arial" w:hAnsi="Arial" w:cs="Arial" w:eastAsiaTheme="minorEastAsia"/>
          <w:b/>
          <w:sz w:val="22"/>
          <w:szCs w:val="22"/>
          <w:highlight w:val="none"/>
          <w:lang w:val="en-US" w:eastAsia="zh-CN" w:bidi="ar-SA"/>
        </w:rPr>
        <w:t>3</w:t>
      </w:r>
      <w:r>
        <w:rPr>
          <w:rFonts w:hint="default" w:ascii="Arial" w:hAnsi="Arial" w:cs="Arial" w:eastAsiaTheme="minorEastAsia"/>
          <w:b/>
          <w:sz w:val="22"/>
          <w:szCs w:val="22"/>
          <w:highlight w:val="none"/>
          <w:lang w:val="en-US" w:eastAsia="zh-CN" w:bidi="ar-SA"/>
        </w:rPr>
        <w:tab/>
      </w:r>
      <w:r>
        <w:rPr>
          <w:rFonts w:hint="eastAsia" w:ascii="Arial" w:hAnsi="Arial" w:cs="Arial" w:eastAsiaTheme="minorEastAsia"/>
          <w:b/>
          <w:sz w:val="22"/>
          <w:szCs w:val="22"/>
          <w:highlight w:val="none"/>
          <w:lang w:val="en-US" w:eastAsia="zh-CN" w:bidi="ar-SA"/>
        </w:rPr>
        <w:t xml:space="preserve">                                       </w:t>
      </w:r>
      <w:r>
        <w:rPr>
          <w:rFonts w:hint="eastAsia" w:cs="Arial"/>
          <w:b/>
          <w:sz w:val="22"/>
          <w:szCs w:val="22"/>
          <w:highlight w:val="none"/>
          <w:lang w:val="en-US" w:eastAsia="zh-CN" w:bidi="ar-SA"/>
        </w:rPr>
        <w:t xml:space="preserve"> </w:t>
      </w:r>
      <w:r>
        <w:rPr>
          <w:rFonts w:hint="eastAsia" w:cs="Arial"/>
          <w:b/>
          <w:sz w:val="22"/>
          <w:szCs w:val="22"/>
          <w:highlight w:val="none"/>
          <w:lang w:val="en-US" w:eastAsia="zh-CN" w:bidi="ar-SA"/>
        </w:rPr>
        <w:tab/>
      </w:r>
      <w:r>
        <w:rPr>
          <w:rFonts w:hint="eastAsia" w:ascii="Arial" w:hAnsi="Arial" w:cs="Arial" w:eastAsiaTheme="minorEastAsia"/>
          <w:b/>
          <w:sz w:val="22"/>
          <w:szCs w:val="22"/>
          <w:highlight w:val="none"/>
          <w:lang w:val="en-US" w:eastAsia="zh-CN" w:bidi="ar-SA"/>
        </w:rPr>
        <w:t xml:space="preserve">  </w:t>
      </w:r>
      <w:r>
        <w:rPr>
          <w:rFonts w:hint="default" w:ascii="Arial" w:hAnsi="Arial" w:cs="Arial" w:eastAsiaTheme="minorEastAsia"/>
          <w:b/>
          <w:sz w:val="22"/>
          <w:szCs w:val="22"/>
          <w:highlight w:val="none"/>
          <w:lang w:val="en-US" w:eastAsia="zh-CN" w:bidi="ar-SA"/>
        </w:rPr>
        <w:t>R2-2</w:t>
      </w:r>
      <w:r>
        <w:rPr>
          <w:rFonts w:hint="eastAsia" w:ascii="Arial" w:hAnsi="Arial" w:cs="Arial" w:eastAsiaTheme="minorEastAsia"/>
          <w:b/>
          <w:sz w:val="22"/>
          <w:szCs w:val="22"/>
          <w:highlight w:val="none"/>
          <w:lang w:val="en-US" w:eastAsia="zh-CN" w:bidi="ar-SA"/>
        </w:rPr>
        <w:t>6</w:t>
      </w:r>
      <w:r>
        <w:rPr>
          <w:rFonts w:hint="eastAsia" w:cs="Arial"/>
          <w:b/>
          <w:sz w:val="22"/>
          <w:szCs w:val="22"/>
          <w:highlight w:val="none"/>
          <w:lang w:val="en-US" w:eastAsia="zh-CN" w:bidi="ar-SA"/>
        </w:rPr>
        <w:t>00941</w:t>
      </w:r>
    </w:p>
    <w:p w14:paraId="56421FE8">
      <w:pPr>
        <w:pStyle w:val="100"/>
        <w:spacing w:before="100" w:beforeAutospacing="1" w:after="100" w:afterAutospacing="1" w:line="240" w:lineRule="auto"/>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Gothenburg, Sweden, Feb. 09</w:t>
      </w:r>
      <w:r>
        <w:rPr>
          <w:rFonts w:hint="default" w:ascii="Arial" w:hAnsi="Arial" w:cs="Arial" w:eastAsiaTheme="minorEastAsia"/>
          <w:b/>
          <w:sz w:val="22"/>
          <w:szCs w:val="22"/>
          <w:highlight w:val="none"/>
          <w:lang w:val="en-US" w:eastAsia="zh-CN" w:bidi="ar-SA"/>
        </w:rPr>
        <w:t>th</w:t>
      </w:r>
      <w:r>
        <w:rPr>
          <w:rFonts w:hint="default" w:ascii="Arial" w:hAnsi="Arial" w:cs="Arial" w:eastAsiaTheme="minorEastAsia"/>
          <w:b/>
          <w:sz w:val="22"/>
          <w:szCs w:val="22"/>
          <w:highlight w:val="none"/>
          <w:lang w:val="en-US" w:eastAsia="zh-CN" w:bidi="ar-SA"/>
        </w:rPr>
        <w:t xml:space="preserve"> – 13</w:t>
      </w:r>
      <w:r>
        <w:rPr>
          <w:rFonts w:hint="default" w:ascii="Arial" w:hAnsi="Arial" w:cs="Arial" w:eastAsiaTheme="minorEastAsia"/>
          <w:b/>
          <w:sz w:val="22"/>
          <w:szCs w:val="22"/>
          <w:highlight w:val="none"/>
          <w:lang w:val="en-US" w:eastAsia="zh-CN" w:bidi="ar-SA"/>
        </w:rPr>
        <w:t>th</w:t>
      </w:r>
      <w:r>
        <w:rPr>
          <w:rFonts w:hint="eastAsia" w:ascii="Arial" w:hAnsi="Arial" w:cs="Arial" w:eastAsiaTheme="minorEastAsia"/>
          <w:b/>
          <w:sz w:val="22"/>
          <w:szCs w:val="22"/>
          <w:highlight w:val="none"/>
          <w:lang w:val="en-US" w:eastAsia="zh-CN" w:bidi="ar-SA"/>
        </w:rPr>
        <w:t>, 2026</w:t>
      </w:r>
    </w:p>
    <w:p w14:paraId="764D0C9E">
      <w:pPr>
        <w:pStyle w:val="100"/>
        <w:spacing w:before="100" w:beforeAutospacing="1" w:after="100" w:afterAutospacing="1" w:line="240" w:lineRule="auto"/>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Agenda Item:</w:t>
      </w:r>
      <w:r>
        <w:rPr>
          <w:rFonts w:hint="default" w:ascii="Arial" w:hAnsi="Arial" w:cs="Arial" w:eastAsiaTheme="minorEastAsia"/>
          <w:b/>
          <w:sz w:val="22"/>
          <w:szCs w:val="22"/>
          <w:highlight w:val="none"/>
          <w:lang w:val="en-US" w:eastAsia="zh-CN" w:bidi="ar-SA"/>
        </w:rPr>
        <w:tab/>
      </w:r>
      <w:r>
        <w:rPr>
          <w:rFonts w:hint="default" w:ascii="Arial" w:hAnsi="Arial" w:cs="Arial" w:eastAsiaTheme="minorEastAsia"/>
          <w:b/>
          <w:sz w:val="22"/>
          <w:szCs w:val="22"/>
          <w:highlight w:val="none"/>
          <w:lang w:val="en-US" w:eastAsia="zh-CN" w:bidi="ar-SA"/>
        </w:rPr>
        <w:t>10.2</w:t>
      </w:r>
      <w:r>
        <w:rPr>
          <w:rFonts w:hint="default" w:ascii="Arial" w:hAnsi="Arial" w:cs="Arial" w:eastAsiaTheme="minorEastAsia"/>
          <w:b/>
          <w:sz w:val="22"/>
          <w:szCs w:val="22"/>
          <w:highlight w:val="none"/>
          <w:lang w:val="en-US" w:eastAsia="zh-CN" w:bidi="ar-SA"/>
        </w:rPr>
        <w:t>.1</w:t>
      </w:r>
    </w:p>
    <w:p w14:paraId="6A03C3FB">
      <w:pPr>
        <w:pStyle w:val="100"/>
        <w:spacing w:before="100" w:beforeAutospacing="1" w:after="100" w:afterAutospacing="1" w:line="240" w:lineRule="auto"/>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Source:</w:t>
      </w:r>
      <w:r>
        <w:rPr>
          <w:rFonts w:hint="default" w:ascii="Arial" w:hAnsi="Arial" w:cs="Arial" w:eastAsiaTheme="minorEastAsia"/>
          <w:b/>
          <w:sz w:val="22"/>
          <w:szCs w:val="22"/>
          <w:highlight w:val="none"/>
          <w:lang w:val="en-US" w:eastAsia="zh-CN" w:bidi="ar-SA"/>
        </w:rPr>
        <w:tab/>
      </w:r>
      <w:r>
        <w:rPr>
          <w:rFonts w:hint="eastAsia" w:ascii="Arial" w:hAnsi="Arial" w:eastAsia="宋体" w:cs="Arial"/>
          <w:b/>
          <w:kern w:val="2"/>
          <w:lang w:val="en-US" w:eastAsia="zh-CN"/>
        </w:rPr>
        <w:t>CMCC</w:t>
      </w:r>
      <w:r>
        <w:rPr>
          <w:rFonts w:ascii="Arial" w:hAnsi="Arial" w:eastAsia="ＭＳ 明朝" w:cs="Arial"/>
          <w:b/>
          <w:kern w:val="2"/>
          <w:lang w:eastAsia="ja-JP"/>
        </w:rPr>
        <w:t xml:space="preserve">, </w:t>
      </w:r>
      <w:r>
        <w:rPr>
          <w:rFonts w:ascii="Arial" w:hAnsi="Arial" w:cs="Arial"/>
          <w:b/>
          <w:kern w:val="2"/>
          <w:lang w:eastAsia="zh-CN"/>
        </w:rPr>
        <w:t>NTT DOCOMO</w:t>
      </w:r>
      <w:r>
        <w:rPr>
          <w:rFonts w:ascii="Arial" w:hAnsi="Arial" w:eastAsia="ＭＳ 明朝" w:cs="Arial"/>
          <w:b/>
          <w:kern w:val="2"/>
          <w:lang w:eastAsia="ja-JP"/>
        </w:rPr>
        <w:t>,</w:t>
      </w:r>
      <w:r>
        <w:rPr>
          <w:rFonts w:hint="eastAsia" w:ascii="Arial" w:hAnsi="Arial" w:eastAsia="宋体" w:cs="Arial"/>
          <w:b/>
          <w:kern w:val="2"/>
          <w:lang w:val="en-US" w:eastAsia="zh-CN"/>
        </w:rPr>
        <w:t xml:space="preserve"> </w:t>
      </w:r>
      <w:r>
        <w:rPr>
          <w:rFonts w:ascii="Arial" w:hAnsi="Arial" w:eastAsia="ＭＳ 明朝" w:cs="Arial"/>
          <w:b/>
          <w:kern w:val="2"/>
          <w:lang w:eastAsia="ja-JP"/>
        </w:rPr>
        <w:t>AT&amp;T, Vodafone</w:t>
      </w:r>
    </w:p>
    <w:p w14:paraId="39BB9BA9">
      <w:pPr>
        <w:pStyle w:val="100"/>
        <w:spacing w:before="100" w:beforeAutospacing="1" w:after="100" w:afterAutospacing="1" w:line="240" w:lineRule="auto"/>
        <w:ind w:left="1698" w:hanging="1698" w:hangingChars="769"/>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Title:</w:t>
      </w:r>
      <w:r>
        <w:rPr>
          <w:rFonts w:hint="default" w:ascii="Arial" w:hAnsi="Arial" w:cs="Arial" w:eastAsiaTheme="minorEastAsia"/>
          <w:b/>
          <w:sz w:val="22"/>
          <w:szCs w:val="22"/>
          <w:highlight w:val="none"/>
          <w:lang w:val="en-US" w:eastAsia="zh-CN" w:bidi="ar-SA"/>
        </w:rPr>
        <w:tab/>
      </w:r>
      <w:r>
        <w:rPr>
          <w:rFonts w:hint="eastAsia" w:ascii="Arial" w:hAnsi="Arial" w:cs="Arial"/>
          <w:b/>
          <w:kern w:val="2"/>
          <w:lang w:val="en-US" w:eastAsia="zh-CN"/>
        </w:rPr>
        <w:t xml:space="preserve">RAN2 </w:t>
      </w:r>
      <w:r>
        <w:rPr>
          <w:rFonts w:hint="eastAsia" w:ascii="Arial" w:hAnsi="Arial" w:eastAsia="ＭＳ 明朝" w:cs="Arial"/>
          <w:b/>
          <w:kern w:val="2"/>
          <w:lang w:eastAsia="ja-JP"/>
        </w:rPr>
        <w:t>W</w:t>
      </w:r>
      <w:r>
        <w:rPr>
          <w:rFonts w:ascii="Arial" w:hAnsi="Arial" w:cs="Arial"/>
          <w:b/>
          <w:kern w:val="2"/>
          <w:lang w:eastAsia="zh-CN"/>
        </w:rPr>
        <w:t>orkplan for Rel-20 Study of 6GR</w:t>
      </w:r>
    </w:p>
    <w:p w14:paraId="5EA66936">
      <w:pPr>
        <w:rPr>
          <w:rFonts w:hint="default" w:ascii="Arial" w:hAnsi="Arial" w:cs="Arial" w:eastAsiaTheme="minorEastAsia"/>
          <w:b/>
          <w:sz w:val="22"/>
          <w:szCs w:val="22"/>
          <w:highlight w:val="none"/>
          <w:lang w:val="en-US" w:eastAsia="fr-FR" w:bidi="ar-SA"/>
        </w:rPr>
      </w:pPr>
      <w:r>
        <w:rPr>
          <w:rFonts w:hint="default" w:ascii="Arial" w:hAnsi="Arial" w:cs="Arial" w:eastAsiaTheme="minorEastAsia"/>
          <w:b/>
          <w:sz w:val="22"/>
          <w:szCs w:val="22"/>
          <w:highlight w:val="none"/>
          <w:lang w:val="en-US" w:eastAsia="fr-FR" w:bidi="ar-SA"/>
        </w:rPr>
        <w:t>WID/SID:</w:t>
      </w:r>
      <w:r>
        <w:rPr>
          <w:rFonts w:hint="default" w:ascii="Arial" w:hAnsi="Arial" w:cs="Arial" w:eastAsiaTheme="minorEastAsia"/>
          <w:b/>
          <w:sz w:val="22"/>
          <w:szCs w:val="22"/>
          <w:highlight w:val="none"/>
          <w:lang w:val="en-US" w:eastAsia="fr-FR" w:bidi="ar-SA"/>
        </w:rPr>
        <w:tab/>
      </w:r>
      <w:r>
        <w:rPr>
          <w:rFonts w:hint="default" w:ascii="Arial" w:hAnsi="Arial" w:cs="Arial" w:eastAsiaTheme="minorEastAsia"/>
          <w:b/>
          <w:sz w:val="22"/>
          <w:szCs w:val="22"/>
          <w:highlight w:val="none"/>
          <w:lang w:val="en-US" w:eastAsia="fr-FR" w:bidi="ar-SA"/>
        </w:rPr>
        <w:tab/>
      </w:r>
      <w:r>
        <w:rPr>
          <w:rFonts w:hint="default" w:ascii="Arial" w:hAnsi="Arial" w:cs="Arial" w:eastAsiaTheme="minorEastAsia"/>
          <w:b/>
          <w:sz w:val="22"/>
          <w:szCs w:val="22"/>
          <w:highlight w:val="none"/>
          <w:lang w:val="en-US" w:eastAsia="fr-FR" w:bidi="ar-SA"/>
        </w:rPr>
        <w:t>FS_6G_Radio</w:t>
      </w:r>
    </w:p>
    <w:p w14:paraId="1208414E">
      <w:pPr>
        <w:pStyle w:val="100"/>
        <w:spacing w:before="100" w:beforeAutospacing="1" w:after="100" w:afterAutospacing="1" w:line="240" w:lineRule="auto"/>
        <w:rPr>
          <w:rFonts w:hint="default" w:ascii="Arial" w:hAnsi="Arial" w:cs="Arial" w:eastAsiaTheme="minorEastAsia"/>
          <w:b/>
          <w:sz w:val="22"/>
          <w:szCs w:val="22"/>
          <w:highlight w:val="none"/>
          <w:lang w:val="en-US" w:eastAsia="zh-CN" w:bidi="ar-SA"/>
        </w:rPr>
      </w:pPr>
      <w:r>
        <w:rPr>
          <w:rFonts w:hint="default" w:ascii="Arial" w:hAnsi="Arial" w:cs="Arial" w:eastAsiaTheme="minorEastAsia"/>
          <w:b/>
          <w:sz w:val="22"/>
          <w:szCs w:val="22"/>
          <w:highlight w:val="none"/>
          <w:lang w:val="en-US" w:eastAsia="zh-CN" w:bidi="ar-SA"/>
        </w:rPr>
        <w:t>Document for:</w:t>
      </w:r>
      <w:r>
        <w:rPr>
          <w:rFonts w:hint="default" w:ascii="Arial" w:hAnsi="Arial" w:cs="Arial" w:eastAsiaTheme="minorEastAsia"/>
          <w:b/>
          <w:sz w:val="22"/>
          <w:szCs w:val="22"/>
          <w:highlight w:val="none"/>
          <w:lang w:val="en-US" w:eastAsia="zh-CN" w:bidi="ar-SA"/>
        </w:rPr>
        <w:tab/>
      </w:r>
      <w:r>
        <w:rPr>
          <w:rFonts w:hint="eastAsia" w:ascii="Arial" w:hAnsi="Arial" w:cs="Arial"/>
          <w:b/>
          <w:sz w:val="22"/>
          <w:szCs w:val="22"/>
          <w:highlight w:val="none"/>
          <w:lang w:val="en-US" w:eastAsia="zh-CN" w:bidi="ar-SA"/>
        </w:rPr>
        <w:t>Information</w:t>
      </w:r>
    </w:p>
    <w:p w14:paraId="6CA1ADBA">
      <w:pPr>
        <w:pBdr>
          <w:bottom w:val="single" w:color="auto" w:sz="4" w:space="1"/>
        </w:pBdr>
        <w:spacing w:after="0"/>
        <w:jc w:val="left"/>
        <w:rPr>
          <w:rFonts w:ascii="Arial" w:hAnsi="Arial" w:cs="Arial"/>
          <w:b/>
          <w:sz w:val="16"/>
          <w:szCs w:val="16"/>
        </w:rPr>
      </w:pPr>
    </w:p>
    <w:p w14:paraId="68A1E21D">
      <w:pPr>
        <w:pStyle w:val="2"/>
        <w:rPr>
          <w:rFonts w:ascii="Arial" w:hAnsi="Arial" w:cs="Arial"/>
        </w:rPr>
      </w:pPr>
      <w:bookmarkStart w:id="0" w:name="_Ref129681862"/>
      <w:bookmarkStart w:id="1" w:name="_Ref124589705"/>
      <w:r>
        <w:rPr>
          <w:rFonts w:ascii="Arial" w:hAnsi="Arial" w:cs="Arial"/>
        </w:rPr>
        <w:t>Introduction</w:t>
      </w:r>
      <w:bookmarkEnd w:id="0"/>
      <w:bookmarkEnd w:id="1"/>
    </w:p>
    <w:p w14:paraId="68A1E21E">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t>
      </w:r>
      <w:r>
        <w:rPr>
          <w:rFonts w:hint="eastAsia" w:ascii="Arial" w:hAnsi="Arial" w:eastAsia="ＭＳ 明朝" w:cs="Arial"/>
          <w:kern w:val="2"/>
          <w:lang w:eastAsia="ja-JP"/>
        </w:rPr>
        <w:t>updated</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 which includes updated plan in each WG</w:t>
      </w:r>
      <w:r>
        <w:rPr>
          <w:rFonts w:ascii="Arial" w:hAnsi="Arial" w:eastAsia="ＭＳ 明朝" w:cs="Arial"/>
          <w:kern w:val="2"/>
          <w:lang w:eastAsia="ja-JP"/>
        </w:rPr>
        <w:t>.</w:t>
      </w:r>
    </w:p>
    <w:p w14:paraId="68A1E21F">
      <w:pPr>
        <w:pStyle w:val="2"/>
        <w:rPr>
          <w:rFonts w:ascii="Arial" w:hAnsi="Arial" w:eastAsia="ＭＳ 明朝" w:cs="Arial"/>
          <w:lang w:eastAsia="ja-JP"/>
        </w:rPr>
      </w:pPr>
      <w:r>
        <w:rPr>
          <w:rFonts w:ascii="Arial" w:hAnsi="Arial" w:cs="Arial"/>
        </w:rPr>
        <w:t>Workplan</w:t>
      </w:r>
    </w:p>
    <w:p w14:paraId="68A1E220">
      <w:pPr>
        <w:jc w:val="center"/>
        <w:rPr>
          <w:rFonts w:ascii="Arial" w:hAnsi="Arial" w:eastAsia="ＭＳ 明朝" w:cs="Arial"/>
          <w:lang w:eastAsia="ja-JP"/>
        </w:rPr>
      </w:pPr>
      <w:r>
        <w:drawing>
          <wp:inline distT="0" distB="0" distL="0" distR="0">
            <wp:extent cx="9777730" cy="11812270"/>
            <wp:effectExtent l="0" t="0" r="0" b="0"/>
            <wp:docPr id="10556945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694564" name="図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9777730" cy="11812270"/>
                    </a:xfrm>
                    <a:prstGeom prst="rect">
                      <a:avLst/>
                    </a:prstGeom>
                    <a:noFill/>
                    <a:ln>
                      <a:noFill/>
                    </a:ln>
                  </pic:spPr>
                </pic:pic>
              </a:graphicData>
            </a:graphic>
          </wp:inline>
        </w:drawing>
      </w:r>
    </w:p>
    <w:p w14:paraId="68A1E221">
      <w:pPr>
        <w:rPr>
          <w:rFonts w:ascii="Arial" w:hAnsi="Arial" w:cs="Arial"/>
        </w:rPr>
        <w:sectPr>
          <w:pgSz w:w="16838" w:h="23811"/>
          <w:pgMar w:top="720" w:right="720" w:bottom="720" w:left="720" w:header="720" w:footer="720" w:gutter="0"/>
          <w:cols w:space="720" w:num="1"/>
          <w:docGrid w:linePitch="299" w:charSpace="0"/>
        </w:sectPr>
      </w:pPr>
    </w:p>
    <w:p w14:paraId="68A1E222">
      <w:pPr>
        <w:pStyle w:val="3"/>
        <w:rPr>
          <w:rFonts w:ascii="Arial" w:hAnsi="Arial" w:cs="Arial"/>
          <w:lang w:eastAsia="zh-CN"/>
        </w:rPr>
      </w:pPr>
      <w:r>
        <w:rPr>
          <w:rFonts w:ascii="Arial" w:hAnsi="Arial" w:eastAsia="ＭＳ 明朝" w:cs="Arial"/>
          <w:lang w:eastAsia="ja-JP"/>
        </w:rPr>
        <w:t>August</w:t>
      </w:r>
      <w:r>
        <w:rPr>
          <w:rFonts w:ascii="Arial" w:hAnsi="Arial" w:cs="Arial"/>
          <w:lang w:eastAsia="zh-CN"/>
        </w:rPr>
        <w:t xml:space="preserve"> 202</w:t>
      </w:r>
      <w:r>
        <w:rPr>
          <w:rFonts w:ascii="Arial" w:hAnsi="Arial" w:eastAsia="ＭＳ 明朝" w:cs="Arial"/>
          <w:lang w:eastAsia="ja-JP"/>
        </w:rPr>
        <w:t>5</w:t>
      </w:r>
    </w:p>
    <w:p w14:paraId="68A1E223">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ascii="Arial" w:hAnsi="Arial" w:eastAsia="ＭＳ 明朝" w:cs="Arial"/>
          <w:lang w:eastAsia="ja-JP"/>
        </w:rPr>
        <w:t>8</w:t>
      </w:r>
      <w:r>
        <w:rPr>
          <w:rFonts w:ascii="Arial" w:hAnsi="Arial" w:cs="Arial"/>
          <w:lang w:eastAsia="zh-CN"/>
        </w:rPr>
        <w:t xml:space="preserve"> TU)</w:t>
      </w:r>
    </w:p>
    <w:p w14:paraId="68A1E224">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2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68A1E226">
      <w:pPr>
        <w:pStyle w:val="59"/>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68A1E227">
      <w:pPr>
        <w:pStyle w:val="59"/>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68A1E228">
      <w:pPr>
        <w:pStyle w:val="59"/>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68A1E229">
      <w:pPr>
        <w:pStyle w:val="59"/>
        <w:numPr>
          <w:ilvl w:val="2"/>
          <w:numId w:val="6"/>
        </w:numPr>
        <w:rPr>
          <w:rFonts w:ascii="Arial" w:hAnsi="Arial" w:cs="Arial"/>
          <w:sz w:val="22"/>
          <w:szCs w:val="22"/>
          <w:lang w:eastAsia="en-US"/>
        </w:rPr>
      </w:pPr>
      <w:r>
        <w:rPr>
          <w:rFonts w:ascii="Arial" w:hAnsi="Arial" w:cs="Arial"/>
          <w:sz w:val="22"/>
          <w:szCs w:val="22"/>
          <w:lang w:eastAsia="en-US"/>
        </w:rPr>
        <w:t>aspects of MRSS,</w:t>
      </w:r>
    </w:p>
    <w:p w14:paraId="68A1E22A">
      <w:pPr>
        <w:pStyle w:val="59"/>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hAnsi="Arial" w:eastAsia="ＭＳ 明朝" w:cs="Arial"/>
          <w:sz w:val="22"/>
          <w:szCs w:val="22"/>
          <w:lang w:eastAsia="ja-JP"/>
        </w:rPr>
        <w:t xml:space="preserve"> …</w:t>
      </w:r>
      <w:r>
        <w:rPr>
          <w:rFonts w:ascii="Arial" w:hAnsi="Arial" w:cs="Arial"/>
          <w:sz w:val="22"/>
          <w:szCs w:val="22"/>
          <w:lang w:eastAsia="en-US"/>
        </w:rPr>
        <w:t>,</w:t>
      </w:r>
    </w:p>
    <w:p w14:paraId="68A1E22B">
      <w:pPr>
        <w:pStyle w:val="59"/>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68A1E22C">
      <w:pPr>
        <w:pStyle w:val="59"/>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68A1E22D">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68A1E22E">
      <w:pPr>
        <w:pStyle w:val="59"/>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68A1E22F">
      <w:pPr>
        <w:pStyle w:val="59"/>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8A1E230">
      <w:pPr>
        <w:pStyle w:val="59"/>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68A1E231">
      <w:pPr>
        <w:pStyle w:val="59"/>
        <w:numPr>
          <w:ilvl w:val="2"/>
          <w:numId w:val="6"/>
        </w:numPr>
        <w:rPr>
          <w:rFonts w:ascii="Arial" w:hAnsi="Arial" w:cs="Arial"/>
          <w:sz w:val="22"/>
          <w:szCs w:val="22"/>
          <w:lang w:eastAsia="en-US"/>
        </w:rPr>
      </w:pPr>
      <w:r>
        <w:rPr>
          <w:rFonts w:ascii="Arial" w:hAnsi="Arial" w:cs="Arial"/>
          <w:sz w:val="22"/>
          <w:szCs w:val="22"/>
          <w:lang w:eastAsia="en-US"/>
        </w:rPr>
        <w:t>etc.</w:t>
      </w:r>
    </w:p>
    <w:p w14:paraId="68A1E232">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33">
      <w:pPr>
        <w:pStyle w:val="59"/>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8A1E234">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3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36">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3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38">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3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channel coding</w:t>
      </w:r>
    </w:p>
    <w:p w14:paraId="68A1E23A">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B">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3C">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modulation, including joint channel coding and modulation</w:t>
      </w:r>
    </w:p>
    <w:p w14:paraId="68A1E23D">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68A1E23E">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3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68A1E240">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4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Collect </w:t>
      </w:r>
      <w:r>
        <w:rPr>
          <w:rFonts w:ascii="Arial" w:hAnsi="Arial" w:cs="Arial"/>
          <w:sz w:val="22"/>
          <w:szCs w:val="22"/>
          <w:lang w:eastAsia="en-US"/>
        </w:rPr>
        <w:t>AI/ML use cases in all potential components in physical layer design</w:t>
      </w:r>
    </w:p>
    <w:p w14:paraId="68A1E242">
      <w:pPr>
        <w:rPr>
          <w:rFonts w:ascii="Arial" w:hAnsi="Arial" w:eastAsia="ＭＳ 明朝" w:cs="Arial"/>
          <w:lang w:eastAsia="ja-JP"/>
        </w:rPr>
      </w:pPr>
    </w:p>
    <w:p w14:paraId="68A1E243">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ascii="Arial" w:hAnsi="Arial" w:eastAsia="ＭＳ 明朝" w:cs="Arial"/>
          <w:lang w:eastAsia="ja-JP"/>
        </w:rPr>
        <w:t>5</w:t>
      </w:r>
    </w:p>
    <w:p w14:paraId="68A1E244">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hint="eastAsia" w:ascii="Arial" w:hAnsi="Arial" w:eastAsia="ＭＳ 明朝" w:cs="Arial"/>
          <w:b/>
          <w:lang w:eastAsia="ja-JP"/>
        </w:rPr>
        <w:t>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245">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46">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Highlight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for skeleton TR, focusing on</w:t>
      </w:r>
    </w:p>
    <w:p w14:paraId="68A1E247">
      <w:pPr>
        <w:pStyle w:val="59"/>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68A1E248">
      <w:pPr>
        <w:pStyle w:val="59"/>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68A1E249">
      <w:pPr>
        <w:pStyle w:val="59"/>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68A1E24A">
      <w:pPr>
        <w:pStyle w:val="59"/>
        <w:numPr>
          <w:ilvl w:val="2"/>
          <w:numId w:val="6"/>
        </w:numPr>
        <w:rPr>
          <w:rFonts w:ascii="Arial" w:hAnsi="Arial" w:cs="Arial"/>
          <w:sz w:val="22"/>
          <w:szCs w:val="22"/>
          <w:lang w:eastAsia="en-US"/>
        </w:rPr>
      </w:pPr>
      <w:r>
        <w:rPr>
          <w:rFonts w:ascii="Arial" w:hAnsi="Arial" w:cs="Arial"/>
          <w:sz w:val="22"/>
          <w:szCs w:val="22"/>
          <w:lang w:eastAsia="en-US"/>
        </w:rPr>
        <w:t xml:space="preserve">MRSS, </w:t>
      </w:r>
    </w:p>
    <w:p w14:paraId="68A1E24B">
      <w:pPr>
        <w:pStyle w:val="59"/>
        <w:numPr>
          <w:ilvl w:val="2"/>
          <w:numId w:val="6"/>
        </w:numPr>
        <w:rPr>
          <w:rFonts w:ascii="Arial" w:hAnsi="Arial" w:cs="Arial"/>
          <w:sz w:val="22"/>
          <w:szCs w:val="22"/>
          <w:lang w:eastAsia="en-US"/>
        </w:rPr>
      </w:pPr>
      <w:r>
        <w:rPr>
          <w:rFonts w:ascii="Arial" w:hAnsi="Arial" w:cs="Arial"/>
          <w:sz w:val="22"/>
          <w:szCs w:val="22"/>
          <w:lang w:eastAsia="en-US"/>
        </w:rPr>
        <w:t xml:space="preserve">synchronization signal structure and periodicity, </w:t>
      </w:r>
    </w:p>
    <w:p w14:paraId="68A1E24C">
      <w:pPr>
        <w:pStyle w:val="59"/>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68A1E24D">
      <w:pPr>
        <w:pStyle w:val="59"/>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68A1E24E">
      <w:pPr>
        <w:pStyle w:val="59"/>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68A1E24F">
      <w:pPr>
        <w:pStyle w:val="59"/>
        <w:numPr>
          <w:ilvl w:val="2"/>
          <w:numId w:val="6"/>
        </w:numPr>
        <w:rPr>
          <w:rFonts w:ascii="Arial" w:hAnsi="Arial" w:cs="Arial"/>
          <w:sz w:val="22"/>
          <w:szCs w:val="22"/>
          <w:lang w:eastAsia="en-US"/>
        </w:rPr>
      </w:pPr>
      <w:r>
        <w:rPr>
          <w:rFonts w:ascii="Arial" w:hAnsi="Arial" w:cs="Arial"/>
          <w:sz w:val="22"/>
          <w:szCs w:val="22"/>
          <w:lang w:eastAsia="en-US"/>
        </w:rPr>
        <w:t>others (if any)</w:t>
      </w:r>
    </w:p>
    <w:p w14:paraId="68A1E250">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51">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hint="eastAsia" w:ascii="Arial" w:hAnsi="Arial" w:eastAsia="ＭＳ 明朝" w:cs="Arial"/>
          <w:sz w:val="22"/>
          <w:szCs w:val="22"/>
          <w:lang w:eastAsia="ja-JP"/>
        </w:rPr>
        <w:t xml:space="preserve">and </w:t>
      </w:r>
      <w:r>
        <w:rPr>
          <w:rFonts w:ascii="Arial" w:hAnsi="Arial" w:cs="Arial"/>
          <w:sz w:val="22"/>
          <w:szCs w:val="22"/>
          <w:lang w:eastAsia="en-US"/>
        </w:rPr>
        <w:t>metrics/criteria to initiate the evaluation</w:t>
      </w:r>
      <w:r>
        <w:rPr>
          <w:rFonts w:hint="eastAsia" w:ascii="Arial" w:hAnsi="Arial" w:eastAsia="ＭＳ 明朝" w:cs="Arial"/>
          <w:sz w:val="22"/>
          <w:szCs w:val="22"/>
          <w:lang w:eastAsia="ja-JP"/>
        </w:rPr>
        <w:t xml:space="preserve">, as </w:t>
      </w:r>
      <w:r>
        <w:rPr>
          <w:rFonts w:ascii="Arial" w:hAnsi="Arial" w:eastAsia="ＭＳ 明朝" w:cs="Arial"/>
          <w:sz w:val="22"/>
          <w:szCs w:val="22"/>
          <w:lang w:eastAsia="ja-JP"/>
        </w:rPr>
        <w:t>w</w:t>
      </w:r>
      <w:r>
        <w:rPr>
          <w:rFonts w:hint="eastAsia" w:ascii="Arial" w:hAnsi="Arial" w:eastAsia="ＭＳ 明朝" w:cs="Arial"/>
          <w:sz w:val="22"/>
          <w:szCs w:val="22"/>
          <w:lang w:eastAsia="ja-JP"/>
        </w:rPr>
        <w:t xml:space="preserve">ell as </w:t>
      </w:r>
      <w:r>
        <w:rPr>
          <w:rFonts w:ascii="Arial" w:hAnsi="Arial" w:eastAsia="ＭＳ 明朝" w:cs="Arial"/>
          <w:sz w:val="22"/>
          <w:szCs w:val="22"/>
          <w:lang w:eastAsia="ja-JP"/>
        </w:rPr>
        <w:t>traffic model that can be commonly used for evaluating technology proposals</w:t>
      </w:r>
      <w:r>
        <w:rPr>
          <w:rFonts w:hint="eastAsia" w:ascii="Arial" w:hAnsi="Arial" w:eastAsia="ＭＳ 明朝" w:cs="Arial"/>
          <w:sz w:val="22"/>
          <w:szCs w:val="22"/>
          <w:lang w:eastAsia="ja-JP"/>
        </w:rPr>
        <w:t>.</w:t>
      </w:r>
    </w:p>
    <w:p w14:paraId="68A1E252">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53">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54">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5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56">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5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68A1E258">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68A1E259">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5A">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68A1E25B">
      <w:pPr>
        <w:pStyle w:val="59"/>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68A1E25C">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5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ascii="Arial" w:hAnsi="Arial" w:cs="Arial"/>
          <w:sz w:val="22"/>
          <w:szCs w:val="22"/>
          <w:lang w:eastAsia="en-US"/>
        </w:rPr>
        <w:t>.</w:t>
      </w:r>
    </w:p>
    <w:p w14:paraId="68A1E25E">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5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68A1E260">
      <w:pPr>
        <w:rPr>
          <w:rFonts w:ascii="Arial" w:hAnsi="Arial" w:eastAsia="ＭＳ 明朝" w:cs="Arial"/>
          <w:lang w:eastAsia="ja-JP"/>
        </w:rPr>
      </w:pPr>
    </w:p>
    <w:p w14:paraId="68A1E26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4.5</w:t>
      </w:r>
      <w:r>
        <w:rPr>
          <w:rFonts w:ascii="Arial" w:hAnsi="Arial" w:cs="Arial"/>
          <w:lang w:eastAsia="zh-CN"/>
        </w:rPr>
        <w:t xml:space="preserve"> TU)</w:t>
      </w:r>
    </w:p>
    <w:p w14:paraId="68A1E262">
      <w:pPr>
        <w:numPr>
          <w:ilvl w:val="0"/>
          <w:numId w:val="7"/>
        </w:numPr>
        <w:spacing w:after="0"/>
        <w:rPr>
          <w:rFonts w:ascii="Arial" w:hAnsi="Arial" w:eastAsia="ＭＳ 明朝" w:cs="Arial"/>
          <w:lang w:eastAsia="ja-JP"/>
        </w:rPr>
      </w:pPr>
      <w:bookmarkStart w:id="2" w:name="_Hlk210033384"/>
      <w:r>
        <w:rPr>
          <w:rFonts w:ascii="Arial" w:hAnsi="Arial" w:eastAsia="ＭＳ 明朝" w:cs="Arial"/>
          <w:lang w:eastAsia="ja-JP"/>
        </w:rPr>
        <w:t xml:space="preserve">General </w:t>
      </w:r>
    </w:p>
    <w:p w14:paraId="68A1E263">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Deployment scenarios</w:t>
      </w:r>
    </w:p>
    <w:p w14:paraId="68A1E264">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Guidelines</w:t>
      </w:r>
    </w:p>
    <w:p w14:paraId="68A1E265">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68A1E266">
      <w:pPr>
        <w:numPr>
          <w:ilvl w:val="0"/>
          <w:numId w:val="7"/>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68A1E267">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68A1E268">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68A1E269">
      <w:pPr>
        <w:numPr>
          <w:ilvl w:val="1"/>
          <w:numId w:val="7"/>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68A1E26A">
      <w:pPr>
        <w:numPr>
          <w:ilvl w:val="0"/>
          <w:numId w:val="7"/>
        </w:numPr>
        <w:spacing w:after="0"/>
        <w:rPr>
          <w:rFonts w:ascii="Arial" w:hAnsi="Arial" w:eastAsia="ＭＳ 明朝" w:cs="Arial"/>
          <w:lang w:eastAsia="ja-JP"/>
        </w:rPr>
      </w:pPr>
      <w:r>
        <w:rPr>
          <w:rFonts w:ascii="Arial" w:hAnsi="Arial" w:eastAsia="ＭＳ 明朝" w:cs="Arial"/>
          <w:lang w:eastAsia="ja-JP"/>
        </w:rPr>
        <w:t>AI/ML for 6GR</w:t>
      </w:r>
    </w:p>
    <w:p w14:paraId="68A1E26B">
      <w:pPr>
        <w:numPr>
          <w:ilvl w:val="1"/>
          <w:numId w:val="8"/>
        </w:numPr>
        <w:tabs>
          <w:tab w:val="clear" w:pos="840"/>
        </w:tabs>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AI/ML use cases</w:t>
      </w:r>
    </w:p>
    <w:p w14:paraId="68A1E26C">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LCM Procedure</w:t>
      </w:r>
    </w:p>
    <w:p w14:paraId="68A1E26D">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Data collection and data management</w:t>
      </w:r>
    </w:p>
    <w:p w14:paraId="68A1E26E">
      <w:pPr>
        <w:numPr>
          <w:ilvl w:val="0"/>
          <w:numId w:val="7"/>
        </w:numPr>
        <w:spacing w:after="0"/>
        <w:rPr>
          <w:rFonts w:ascii="Arial" w:hAnsi="Arial" w:eastAsia="ＭＳ 明朝" w:cs="Arial"/>
          <w:lang w:eastAsia="ja-JP"/>
        </w:rPr>
      </w:pPr>
      <w:r>
        <w:rPr>
          <w:rFonts w:ascii="Arial" w:hAnsi="Arial" w:eastAsia="ＭＳ 明朝" w:cs="Arial"/>
          <w:lang w:eastAsia="ja-JP"/>
        </w:rPr>
        <w:t xml:space="preserve">Mobility </w:t>
      </w:r>
    </w:p>
    <w:p w14:paraId="68A1E26F">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68A1E270">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bookmarkEnd w:id="2"/>
    <w:p w14:paraId="68A1E271">
      <w:pPr>
        <w:rPr>
          <w:rFonts w:ascii="Arial" w:hAnsi="Arial" w:eastAsia="ＭＳ 明朝" w:cs="Arial"/>
          <w:lang w:eastAsia="ja-JP"/>
        </w:rPr>
      </w:pPr>
    </w:p>
    <w:p w14:paraId="68A1E27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29bis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73">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74">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the overall RAN architecture and design principles.</w:t>
      </w:r>
    </w:p>
    <w:p w14:paraId="68A1E275">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76">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of functional split, interfaces, protocol stacks, and associated procedures between RAN and CN.</w:t>
      </w:r>
    </w:p>
    <w:p w14:paraId="68A1E277">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78">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intra-RAN functional split, internal interfaces, protocol stacks, and procedures.</w:t>
      </w:r>
    </w:p>
    <w:p w14:paraId="68A1E279">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7A">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Identification of existing and new AI/ML use cases in 6G RAN.</w:t>
      </w:r>
    </w:p>
    <w:p w14:paraId="68A1E27E">
      <w:pPr>
        <w:rPr>
          <w:rFonts w:ascii="Arial" w:hAnsi="Arial" w:cs="Arial"/>
        </w:rPr>
      </w:pPr>
    </w:p>
    <w:p w14:paraId="68A1E27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68A1E280">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81">
      <w:pPr>
        <w:pStyle w:val="59"/>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68A1E282">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83">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68A1E284">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8A1E285">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86">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8A1E28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68A1E288">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68A1E28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68A1E28A">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8B">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68A1E28C">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8D">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68A1E28E">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68A1E28F">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90">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68A1E291">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92">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68A1E293">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94">
      <w:pPr>
        <w:pStyle w:val="59"/>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68A1E295">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96">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68A1E29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68A1E298">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99">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68A1E29A">
      <w:pPr>
        <w:pStyle w:val="59"/>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68A1E29B">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68A1E29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68A1E29D">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29E">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68A1E29F">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68A1E2A0">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2A1">
      <w:pPr>
        <w:pStyle w:val="59"/>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68A1E2A2">
      <w:pPr>
        <w:pStyle w:val="59"/>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68A1E2A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68A1E2A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2A5">
      <w:pPr>
        <w:rPr>
          <w:rFonts w:ascii="Arial" w:hAnsi="Arial" w:eastAsia="ＭＳ 明朝" w:cs="Arial"/>
          <w:lang w:eastAsia="ja-JP"/>
        </w:rPr>
      </w:pPr>
    </w:p>
    <w:p w14:paraId="68A1E2A6">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ascii="Arial" w:hAnsi="Arial" w:eastAsia="ＭＳ 明朝" w:cs="Arial"/>
          <w:lang w:eastAsia="ja-JP"/>
        </w:rPr>
        <w:t>5</w:t>
      </w:r>
    </w:p>
    <w:p w14:paraId="68A1E2A7">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2A8">
      <w:pPr>
        <w:pStyle w:val="59"/>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8A1E2A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AA">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8A1E2AB">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AC">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2AD">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2AE">
      <w:pPr>
        <w:pStyle w:val="59"/>
        <w:numPr>
          <w:ilvl w:val="0"/>
          <w:numId w:val="6"/>
        </w:numPr>
        <w:rPr>
          <w:rFonts w:ascii="Arial" w:hAnsi="Arial" w:cs="Arial"/>
          <w:sz w:val="22"/>
          <w:szCs w:val="22"/>
          <w:lang w:eastAsia="en-US"/>
        </w:rPr>
      </w:pPr>
      <w:r>
        <w:rPr>
          <w:rFonts w:ascii="Arial" w:hAnsi="Arial" w:cs="Arial"/>
          <w:sz w:val="22"/>
          <w:szCs w:val="22"/>
          <w:lang w:eastAsia="en-US"/>
        </w:rPr>
        <w:t>Frame structure</w:t>
      </w:r>
    </w:p>
    <w:p w14:paraId="68A1E2AF">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68A1E2B0">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2B1">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68A1E2B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B3">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2B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68A1E2B5">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68A1E2B6">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2B7">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as well as </w:t>
      </w:r>
      <w:r>
        <w:rPr>
          <w:rFonts w:ascii="Arial" w:hAnsi="Arial" w:eastAsia="ＭＳ 明朝" w:cs="Arial"/>
          <w:sz w:val="22"/>
          <w:szCs w:val="22"/>
          <w:lang w:eastAsia="ja-JP"/>
        </w:rPr>
        <w:t>evaluation assumptions</w:t>
      </w:r>
      <w:r>
        <w:rPr>
          <w:rFonts w:hint="eastAsia" w:ascii="Arial" w:hAnsi="Arial" w:eastAsia="ＭＳ 明朝" w:cs="Arial"/>
          <w:sz w:val="22"/>
          <w:szCs w:val="22"/>
          <w:lang w:eastAsia="ja-JP"/>
        </w:rPr>
        <w:t>/</w:t>
      </w:r>
      <w:r>
        <w:rPr>
          <w:rFonts w:ascii="Arial" w:hAnsi="Arial" w:eastAsia="ＭＳ 明朝" w:cs="Arial"/>
          <w:sz w:val="22"/>
          <w:szCs w:val="22"/>
          <w:lang w:eastAsia="ja-JP"/>
        </w:rPr>
        <w:t>methodologies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B8">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2B9">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Select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68A1E2BA">
      <w:pPr>
        <w:rPr>
          <w:rFonts w:ascii="Arial" w:hAnsi="Arial" w:eastAsia="ＭＳ 明朝" w:cs="Arial"/>
          <w:lang w:eastAsia="ja-JP"/>
        </w:rPr>
      </w:pPr>
    </w:p>
    <w:p w14:paraId="68A1E2B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BC">
      <w:pPr>
        <w:numPr>
          <w:ilvl w:val="0"/>
          <w:numId w:val="9"/>
        </w:numPr>
        <w:spacing w:after="0"/>
        <w:rPr>
          <w:rFonts w:ascii="Arial" w:hAnsi="Arial" w:eastAsia="ＭＳ 明朝" w:cs="Arial"/>
          <w:lang w:eastAsia="ja-JP"/>
        </w:rPr>
      </w:pPr>
      <w:r>
        <w:rPr>
          <w:rFonts w:ascii="Arial" w:hAnsi="Arial" w:eastAsia="ＭＳ 明朝" w:cs="Arial"/>
          <w:lang w:eastAsia="ja-JP"/>
        </w:rPr>
        <w:t xml:space="preserve">General </w:t>
      </w:r>
    </w:p>
    <w:p w14:paraId="68A1E2BE">
      <w:pPr>
        <w:numPr>
          <w:ilvl w:val="1"/>
          <w:numId w:val="9"/>
        </w:numPr>
        <w:tabs>
          <w:tab w:val="clear" w:pos="840"/>
        </w:tabs>
        <w:spacing w:after="0"/>
        <w:rPr>
          <w:rFonts w:ascii="Arial" w:hAnsi="Arial" w:eastAsia="ＭＳ 明朝" w:cs="Arial"/>
          <w:lang w:eastAsia="ja-JP"/>
        </w:rPr>
      </w:pPr>
    </w:p>
    <w:p w14:paraId="68A1E2BF">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68A1E2C0">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TN/NTN integration</w:t>
      </w:r>
    </w:p>
    <w:p w14:paraId="68A1E2C1">
      <w:pPr>
        <w:numPr>
          <w:ilvl w:val="1"/>
          <w:numId w:val="9"/>
        </w:numPr>
        <w:tabs>
          <w:tab w:val="clear" w:pos="840"/>
        </w:tabs>
        <w:spacing w:after="0"/>
        <w:rPr>
          <w:rFonts w:ascii="Arial" w:hAnsi="Arial" w:eastAsia="ＭＳ 明朝" w:cs="Arial"/>
          <w:lang w:eastAsia="ja-JP"/>
        </w:rPr>
      </w:pPr>
      <w:r>
        <w:rPr>
          <w:rFonts w:hint="eastAsia" w:ascii="Arial" w:hAnsi="Arial" w:eastAsia="ＭＳ 明朝" w:cs="Arial"/>
          <w:lang w:eastAsia="ja-JP"/>
        </w:rPr>
        <w:t>Design approaches, New services, Others</w:t>
      </w:r>
    </w:p>
    <w:p w14:paraId="68A1E2C2">
      <w:pPr>
        <w:numPr>
          <w:ilvl w:val="0"/>
          <w:numId w:val="9"/>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68A1E2C3">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68A1E2C4">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68A1E2C5">
      <w:pPr>
        <w:numPr>
          <w:ilvl w:val="1"/>
          <w:numId w:val="9"/>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68A1E2C6">
      <w:pPr>
        <w:numPr>
          <w:ilvl w:val="0"/>
          <w:numId w:val="9"/>
        </w:numPr>
        <w:spacing w:after="0"/>
        <w:rPr>
          <w:rFonts w:ascii="Arial" w:hAnsi="Arial" w:eastAsia="ＭＳ 明朝" w:cs="Arial"/>
          <w:lang w:eastAsia="ja-JP"/>
        </w:rPr>
      </w:pPr>
      <w:r>
        <w:rPr>
          <w:rFonts w:hint="eastAsia" w:ascii="Arial" w:hAnsi="Arial" w:eastAsia="ＭＳ 明朝" w:cs="Arial"/>
          <w:lang w:eastAsia="ja-JP"/>
        </w:rPr>
        <w:t>Common User plane and Control plane</w:t>
      </w:r>
    </w:p>
    <w:p w14:paraId="68A1E2C7">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Data transfer, model transfer, and AIML</w:t>
      </w:r>
    </w:p>
    <w:p w14:paraId="68A1E2C8">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Energy efficiency</w:t>
      </w:r>
    </w:p>
    <w:p w14:paraId="68A1E2C9">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Others(</w:t>
      </w:r>
      <w:r>
        <w:rPr>
          <w:rFonts w:ascii="Arial" w:hAnsi="Arial" w:eastAsia="ＭＳ 明朝" w:cs="Arial"/>
          <w:i/>
          <w:iCs/>
          <w:lang w:eastAsia="ja-JP"/>
        </w:rPr>
        <w:t>including any remaining Access stratum security-related aspects, in alignment with requirements from SA3.</w:t>
      </w:r>
      <w:r>
        <w:rPr>
          <w:rFonts w:ascii="Arial" w:hAnsi="Arial" w:eastAsia="ＭＳ 明朝" w:cs="Arial"/>
          <w:lang w:eastAsia="ja-JP"/>
        </w:rPr>
        <w:t>)</w:t>
      </w:r>
    </w:p>
    <w:p w14:paraId="68A1E2CE">
      <w:pPr>
        <w:numPr>
          <w:ilvl w:val="0"/>
          <w:numId w:val="9"/>
        </w:numPr>
        <w:spacing w:after="0"/>
        <w:rPr>
          <w:rFonts w:ascii="Arial" w:hAnsi="Arial" w:eastAsia="ＭＳ 明朝" w:cs="Arial"/>
          <w:lang w:eastAsia="ja-JP"/>
        </w:rPr>
      </w:pPr>
      <w:r>
        <w:rPr>
          <w:rFonts w:ascii="Arial" w:hAnsi="Arial" w:eastAsia="ＭＳ 明朝" w:cs="Arial"/>
          <w:lang w:eastAsia="ja-JP"/>
        </w:rPr>
        <w:t xml:space="preserve">Mobility </w:t>
      </w:r>
    </w:p>
    <w:p w14:paraId="68A1E2CF">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68A1E2D0">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68A1E2D1">
      <w:pPr>
        <w:rPr>
          <w:rFonts w:ascii="Arial" w:hAnsi="Arial" w:eastAsia="ＭＳ 明朝" w:cs="Arial"/>
          <w:lang w:eastAsia="ja-JP"/>
        </w:rPr>
      </w:pPr>
    </w:p>
    <w:p w14:paraId="68A1E2D2">
      <w:pPr>
        <w:rPr>
          <w:rFonts w:ascii="Arial" w:hAnsi="Arial" w:eastAsia="ＭＳ 明朝" w:cs="Arial"/>
          <w:lang w:eastAsia="ja-JP"/>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68A1E2D3">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2D4">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68A1E2D5">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2D6">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functional split, interfaces, protocol stacks, and associated procedures between RAN and CN.</w:t>
      </w:r>
    </w:p>
    <w:p w14:paraId="68A1E2D7">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2D8">
      <w:pPr>
        <w:pStyle w:val="59"/>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intra-RAN functional split, internal interfaces, protocol stacks, and procedures.</w:t>
      </w:r>
    </w:p>
    <w:p w14:paraId="68A1E2D9">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2DA">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Continue to identify existing and new AI/ML use cases in 6G RAN.</w:t>
      </w:r>
    </w:p>
    <w:p w14:paraId="68A1E2DF">
      <w:pPr>
        <w:rPr>
          <w:rFonts w:ascii="Arial" w:hAnsi="Arial" w:eastAsia="ＭＳ 明朝" w:cs="Arial"/>
          <w:lang w:eastAsia="ja-JP"/>
        </w:rPr>
      </w:pPr>
    </w:p>
    <w:p w14:paraId="68A1E2E0">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68A1E2E1">
      <w:pPr>
        <w:pStyle w:val="59"/>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2E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68A1E2E3">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2E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2E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68A1E2E6">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2E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2E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2E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2E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2EB">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2E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2E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2E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2E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2F0">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2F1">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68A1E2F2">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2F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68A1E2F4">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2F5">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68A1E2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2F7">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2F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2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2FA">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2F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2FC">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2F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2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2FF">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00">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0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02">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03">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0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06">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07">
      <w:pPr>
        <w:rPr>
          <w:rFonts w:ascii="Arial" w:hAnsi="Arial" w:eastAsia="ＭＳ 明朝" w:cs="Arial"/>
          <w:lang w:eastAsia="ja-JP"/>
        </w:rPr>
      </w:pPr>
    </w:p>
    <w:p w14:paraId="68A1E308">
      <w:pPr>
        <w:pStyle w:val="3"/>
        <w:rPr>
          <w:rFonts w:ascii="Arial" w:hAnsi="Arial" w:cs="Arial"/>
          <w:lang w:eastAsia="zh-CN"/>
        </w:rPr>
      </w:pPr>
      <w:bookmarkStart w:id="11" w:name="_GoBack"/>
      <w:bookmarkEnd w:id="11"/>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6</w:t>
      </w:r>
    </w:p>
    <w:p w14:paraId="68A1E309">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1524A95B">
      <w:pPr>
        <w:pStyle w:val="59"/>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42088F86">
      <w:pPr>
        <w:pStyle w:val="59"/>
        <w:numPr>
          <w:ilvl w:val="1"/>
          <w:numId w:val="6"/>
        </w:numPr>
        <w:ind w:left="1080" w:hanging="360"/>
        <w:rPr>
          <w:rFonts w:ascii="Arial" w:hAnsi="Arial" w:cs="Arial"/>
          <w:sz w:val="22"/>
          <w:szCs w:val="22"/>
          <w:lang w:eastAsia="en-US"/>
        </w:rPr>
      </w:pPr>
      <w:r>
        <w:rPr>
          <w:rFonts w:ascii="Arial" w:hAnsi="Arial" w:eastAsia="ＭＳ 明朝" w:cs="Arial"/>
          <w:sz w:val="22"/>
          <w:szCs w:val="22"/>
          <w:lang w:eastAsia="ja-JP"/>
        </w:rPr>
        <w:t>Update of traffic models and evaluation models that can be commonly used for evaluating technology proposals</w:t>
      </w:r>
    </w:p>
    <w:p w14:paraId="68A1E30D">
      <w:pPr>
        <w:pStyle w:val="59"/>
        <w:numPr>
          <w:ilvl w:val="0"/>
          <w:numId w:val="6"/>
        </w:numPr>
        <w:rPr>
          <w:rFonts w:ascii="Arial" w:hAnsi="Arial" w:cs="Arial"/>
          <w:sz w:val="22"/>
          <w:szCs w:val="22"/>
          <w:lang w:eastAsia="en-US"/>
        </w:rPr>
      </w:pPr>
      <w:r>
        <w:rPr>
          <w:rFonts w:ascii="Arial" w:hAnsi="Arial" w:cs="Arial"/>
          <w:sz w:val="22"/>
          <w:szCs w:val="22"/>
          <w:lang w:eastAsia="en-US"/>
        </w:rPr>
        <w:t>Waveform</w:t>
      </w:r>
    </w:p>
    <w:p w14:paraId="68A1E30E">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the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68A1E311">
      <w:pPr>
        <w:pStyle w:val="59"/>
        <w:numPr>
          <w:ilvl w:val="0"/>
          <w:numId w:val="6"/>
        </w:numPr>
        <w:rPr>
          <w:rFonts w:ascii="Arial" w:hAnsi="Arial" w:cs="Arial"/>
          <w:sz w:val="22"/>
          <w:szCs w:val="22"/>
          <w:lang w:eastAsia="en-US"/>
        </w:rPr>
      </w:pPr>
      <w:r>
        <w:rPr>
          <w:rFonts w:ascii="Arial" w:hAnsi="Arial" w:cs="Arial"/>
          <w:sz w:val="22"/>
          <w:szCs w:val="22"/>
          <w:lang w:eastAsia="en-US"/>
        </w:rPr>
        <w:t>Channel coding</w:t>
      </w:r>
    </w:p>
    <w:p w14:paraId="68A1E312">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p>
    <w:p w14:paraId="68A1E313">
      <w:pPr>
        <w:pStyle w:val="59"/>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68A1E31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candidate</w:t>
      </w:r>
      <w:r>
        <w:rPr>
          <w:rFonts w:ascii="Arial" w:hAnsi="Arial" w:eastAsia="ＭＳ 明朝" w:cs="Arial"/>
          <w:sz w:val="22"/>
          <w:szCs w:val="22"/>
          <w:lang w:eastAsia="ja-JP"/>
        </w:rPr>
        <w:t xml:space="preserve"> modulation, including joint channel coding and modulation</w:t>
      </w:r>
    </w:p>
    <w:p w14:paraId="68A1E315">
      <w:pPr>
        <w:pStyle w:val="59"/>
        <w:numPr>
          <w:ilvl w:val="0"/>
          <w:numId w:val="6"/>
        </w:numPr>
        <w:rPr>
          <w:rFonts w:ascii="Arial" w:hAnsi="Arial" w:cs="Arial"/>
          <w:sz w:val="22"/>
          <w:szCs w:val="22"/>
          <w:lang w:eastAsia="en-US"/>
        </w:rPr>
      </w:pPr>
      <w:r>
        <w:rPr>
          <w:rFonts w:ascii="Arial" w:hAnsi="Arial" w:cs="Arial"/>
          <w:sz w:val="22"/>
          <w:szCs w:val="22"/>
          <w:lang w:eastAsia="en-US"/>
        </w:rPr>
        <w:t>Energy efficiency</w:t>
      </w:r>
    </w:p>
    <w:p w14:paraId="68A1E316">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Update of evaluation assumptions for power consumption.</w:t>
      </w:r>
    </w:p>
    <w:p w14:paraId="68A1E317">
      <w:pPr>
        <w:pStyle w:val="59"/>
        <w:numPr>
          <w:ilvl w:val="0"/>
          <w:numId w:val="6"/>
        </w:numPr>
        <w:rPr>
          <w:rFonts w:ascii="Arial" w:hAnsi="Arial" w:cs="Arial"/>
          <w:sz w:val="22"/>
          <w:szCs w:val="22"/>
          <w:lang w:eastAsia="en-US"/>
        </w:rPr>
      </w:pPr>
      <w:r>
        <w:rPr>
          <w:rFonts w:ascii="Arial" w:hAnsi="Arial" w:cs="Arial"/>
          <w:sz w:val="22"/>
          <w:szCs w:val="22"/>
          <w:lang w:eastAsia="en-US"/>
        </w:rPr>
        <w:t>AI/ML</w:t>
      </w:r>
    </w:p>
    <w:p w14:paraId="68A1E318">
      <w:pPr>
        <w:pStyle w:val="59"/>
        <w:numPr>
          <w:ilvl w:val="1"/>
          <w:numId w:val="6"/>
        </w:numPr>
        <w:rPr>
          <w:rFonts w:ascii="Arial" w:hAnsi="Arial" w:eastAsia="ＭＳ 明朝"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092FE15F">
      <w:pPr>
        <w:pStyle w:val="59"/>
        <w:numPr>
          <w:ilvl w:val="0"/>
          <w:numId w:val="6"/>
        </w:numPr>
        <w:rPr>
          <w:rFonts w:ascii="Arial" w:hAnsi="Arial" w:cs="Arial" w:eastAsiaTheme="minorEastAsia"/>
          <w:sz w:val="22"/>
          <w:szCs w:val="22"/>
          <w:lang w:eastAsia="en-US"/>
        </w:rPr>
      </w:pPr>
      <w:r>
        <w:rPr>
          <w:rFonts w:ascii="Arial" w:hAnsi="Arial" w:cs="Arial"/>
          <w:sz w:val="22"/>
          <w:szCs w:val="22"/>
          <w:lang w:eastAsia="en-US"/>
        </w:rPr>
        <w:t>General aspects and frameworks</w:t>
      </w:r>
    </w:p>
    <w:p w14:paraId="33B3C78E">
      <w:pPr>
        <w:pStyle w:val="59"/>
        <w:numPr>
          <w:ilvl w:val="1"/>
          <w:numId w:val="6"/>
        </w:numPr>
        <w:ind w:left="1080" w:hanging="360"/>
        <w:rPr>
          <w:rFonts w:ascii="Arial" w:hAnsi="Arial" w:cs="Arial" w:eastAsiaTheme="minorEastAsia"/>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68A1E319">
      <w:pPr>
        <w:pStyle w:val="59"/>
        <w:numPr>
          <w:ilvl w:val="0"/>
          <w:numId w:val="6"/>
        </w:numPr>
        <w:rPr>
          <w:rFonts w:ascii="Arial" w:hAnsi="Arial" w:cs="Arial"/>
          <w:sz w:val="22"/>
          <w:szCs w:val="22"/>
          <w:lang w:eastAsia="en-US"/>
        </w:rPr>
      </w:pPr>
      <w:r>
        <w:rPr>
          <w:rFonts w:ascii="Arial" w:hAnsi="Arial" w:cs="Arial"/>
          <w:sz w:val="22"/>
          <w:szCs w:val="22"/>
          <w:lang w:eastAsia="en-US"/>
        </w:rPr>
        <w:t>Initial access</w:t>
      </w:r>
      <w:r>
        <w:rPr>
          <w:rFonts w:hint="eastAsia" w:ascii="Arial" w:hAnsi="Arial" w:eastAsia="ＭＳ 明朝" w:cs="Arial"/>
          <w:sz w:val="22"/>
          <w:szCs w:val="22"/>
          <w:lang w:eastAsia="ja-JP"/>
        </w:rPr>
        <w:t xml:space="preserve"> and mobility</w:t>
      </w:r>
    </w:p>
    <w:p w14:paraId="68A1E31A">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initial access and mobility, i</w:t>
      </w:r>
      <w:r>
        <w:rPr>
          <w:rFonts w:ascii="Arial" w:hAnsi="Arial" w:cs="Arial"/>
          <w:sz w:val="22"/>
          <w:szCs w:val="22"/>
          <w:lang w:eastAsia="en-US"/>
        </w:rPr>
        <w:t>ncluding synchronization acquisition and beam measurement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PRACH and RACH procedure</w:t>
      </w:r>
      <w:r>
        <w:rPr>
          <w:rFonts w:hint="eastAsia" w:ascii="Arial" w:hAnsi="Arial" w:eastAsia="ＭＳ 明朝" w:cs="Arial"/>
          <w:sz w:val="22"/>
          <w:szCs w:val="22"/>
          <w:lang w:eastAsia="ja-JP"/>
        </w:rPr>
        <w:t>, b</w:t>
      </w:r>
      <w:r>
        <w:rPr>
          <w:rFonts w:ascii="Arial" w:hAnsi="Arial" w:eastAsia="ＭＳ 明朝" w:cs="Arial"/>
          <w:sz w:val="22"/>
          <w:szCs w:val="22"/>
          <w:lang w:eastAsia="ja-JP"/>
        </w:rPr>
        <w:t>andwidth operation</w:t>
      </w:r>
      <w:r>
        <w:rPr>
          <w:rFonts w:ascii="Arial" w:hAnsi="Arial" w:cs="Arial"/>
          <w:sz w:val="22"/>
          <w:szCs w:val="22"/>
          <w:lang w:eastAsia="en-US"/>
        </w:rPr>
        <w:t>, etc.</w:t>
      </w:r>
    </w:p>
    <w:p w14:paraId="68A1E31B">
      <w:pPr>
        <w:pStyle w:val="59"/>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8A1E31C">
      <w:pPr>
        <w:pStyle w:val="59"/>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Identify candidate </w:t>
      </w:r>
      <w:r>
        <w:rPr>
          <w:rFonts w:hint="eastAsia" w:ascii="Arial" w:hAnsi="Arial" w:eastAsia="ＭＳ 明朝" w:cs="Arial"/>
          <w:sz w:val="22"/>
          <w:szCs w:val="22"/>
          <w:lang w:eastAsia="ja-JP"/>
        </w:rPr>
        <w:t xml:space="preserve">technologies for </w:t>
      </w:r>
      <w:r>
        <w:rPr>
          <w:rFonts w:ascii="Arial" w:hAnsi="Arial" w:eastAsia="ＭＳ 明朝" w:cs="Arial"/>
          <w:sz w:val="22"/>
          <w:szCs w:val="22"/>
          <w:lang w:eastAsia="ja-JP"/>
        </w:rPr>
        <w:t>MIMO</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operation</w:t>
      </w:r>
      <w:r>
        <w:rPr>
          <w:rFonts w:hint="eastAsia" w:ascii="Arial" w:hAnsi="Arial" w:eastAsia="ＭＳ 明朝" w:cs="Arial"/>
          <w:sz w:val="22"/>
          <w:szCs w:val="22"/>
          <w:lang w:eastAsia="ja-JP"/>
        </w:rPr>
        <w:t xml:space="preserve">, including </w:t>
      </w:r>
      <w:r>
        <w:rPr>
          <w:rFonts w:ascii="Arial" w:hAnsi="Arial" w:eastAsia="ＭＳ 明朝" w:cs="Arial"/>
          <w:sz w:val="22"/>
          <w:szCs w:val="22"/>
          <w:lang w:eastAsia="ja-JP"/>
        </w:rPr>
        <w:t>Downlink transmission scheme(s) for downlink control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 transmission scheme(s) for downlink shared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Uplink transmission scheme(s) for uplink channels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Beam management for downlink and uplink</w:t>
      </w:r>
      <w:r>
        <w:rPr>
          <w:rFonts w:hint="eastAsia" w:ascii="Arial" w:hAnsi="Arial" w:eastAsia="ＭＳ 明朝" w:cs="Arial"/>
          <w:sz w:val="22"/>
          <w:szCs w:val="22"/>
          <w:lang w:eastAsia="ja-JP"/>
        </w:rPr>
        <w:t>, etc.</w:t>
      </w:r>
    </w:p>
    <w:p w14:paraId="499CC138">
      <w:pPr>
        <w:pStyle w:val="59"/>
        <w:numPr>
          <w:ilvl w:val="0"/>
          <w:numId w:val="6"/>
        </w:numPr>
        <w:rPr>
          <w:rFonts w:ascii="Arial" w:hAnsi="Arial" w:cs="Arial" w:eastAsiaTheme="minorEastAsia"/>
          <w:bCs w:val="0"/>
          <w:sz w:val="22"/>
          <w:szCs w:val="22"/>
          <w:lang w:eastAsia="en-US"/>
        </w:rPr>
      </w:pPr>
      <w:r>
        <w:rPr>
          <w:rFonts w:ascii="Arial" w:hAnsi="Arial" w:cs="Arial"/>
          <w:bCs/>
          <w:sz w:val="22"/>
          <w:szCs w:val="22"/>
          <w:lang w:eastAsia="en-US"/>
        </w:rPr>
        <w:t>CSI acquisition and report</w:t>
      </w:r>
    </w:p>
    <w:p w14:paraId="6F364351">
      <w:pPr>
        <w:pStyle w:val="59"/>
        <w:numPr>
          <w:ilvl w:val="1"/>
          <w:numId w:val="6"/>
        </w:numPr>
        <w:ind w:left="1080" w:hanging="360"/>
        <w:rPr>
          <w:rFonts w:ascii="Arial" w:hAnsi="Arial" w:cs="Arial" w:eastAsiaTheme="minorEastAsia"/>
          <w:bCs w:val="0"/>
          <w:sz w:val="22"/>
          <w:szCs w:val="22"/>
          <w:lang w:eastAsia="en-US"/>
        </w:rPr>
      </w:pPr>
      <w:r>
        <w:rPr>
          <w:rFonts w:ascii="Arial" w:hAnsi="Arial" w:eastAsia="ＭＳ 明朝" w:cs="Arial"/>
          <w:sz w:val="22"/>
          <w:szCs w:val="22"/>
          <w:lang w:eastAsia="ja-JP"/>
        </w:rPr>
        <w:t xml:space="preserve">Identify candidate </w:t>
      </w:r>
      <w:r>
        <w:rPr>
          <w:rFonts w:hint="eastAsia" w:ascii="Arial" w:hAnsi="Arial" w:eastAsia="ＭＳ 明朝" w:cs="Arial"/>
          <w:sz w:val="22"/>
          <w:szCs w:val="22"/>
          <w:lang w:eastAsia="ja-JP"/>
        </w:rPr>
        <w:t xml:space="preserve">technologies for </w:t>
      </w:r>
      <w:r>
        <w:rPr>
          <w:rFonts w:ascii="Arial" w:hAnsi="Arial" w:cs="Arial"/>
          <w:bCs/>
          <w:sz w:val="22"/>
          <w:szCs w:val="22"/>
          <w:lang w:eastAsia="en-US"/>
        </w:rPr>
        <w:t>CSI acquisition and report</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including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downlink-based CSI acquisition</w:t>
      </w:r>
      <w:r>
        <w:rPr>
          <w:rFonts w:hint="eastAsia" w:ascii="Arial" w:hAnsi="Arial" w:eastAsia="ＭＳ 明朝" w:cs="Arial"/>
          <w:sz w:val="22"/>
          <w:szCs w:val="22"/>
          <w:lang w:eastAsia="ja-JP"/>
        </w:rPr>
        <w:t>, uplink</w:t>
      </w:r>
      <w:r>
        <w:rPr>
          <w:rFonts w:ascii="Arial" w:hAnsi="Arial" w:eastAsia="ＭＳ 明朝" w:cs="Arial"/>
          <w:sz w:val="22"/>
          <w:szCs w:val="22"/>
          <w:lang w:eastAsia="ja-JP"/>
        </w:rPr>
        <w:t>-based CSI acquisition</w:t>
      </w:r>
      <w:r>
        <w:rPr>
          <w:rFonts w:hint="eastAsia" w:ascii="Arial" w:hAnsi="Arial" w:eastAsia="ＭＳ 明朝" w:cs="Arial"/>
          <w:sz w:val="22"/>
          <w:szCs w:val="22"/>
          <w:lang w:eastAsia="ja-JP"/>
        </w:rPr>
        <w:t>, etc.</w:t>
      </w:r>
    </w:p>
    <w:p w14:paraId="68A1E31D">
      <w:pPr>
        <w:pStyle w:val="59"/>
        <w:numPr>
          <w:ilvl w:val="0"/>
          <w:numId w:val="6"/>
        </w:numPr>
        <w:rPr>
          <w:rFonts w:ascii="Arial" w:hAnsi="Arial" w:cs="Arial"/>
          <w:sz w:val="22"/>
          <w:szCs w:val="22"/>
          <w:lang w:eastAsia="en-US"/>
        </w:rPr>
      </w:pPr>
      <w:r>
        <w:rPr>
          <w:rFonts w:hint="eastAsia" w:ascii="Arial" w:hAnsi="Arial" w:eastAsia="ＭＳ 明朝" w:cs="Arial"/>
          <w:sz w:val="22"/>
          <w:szCs w:val="22"/>
          <w:lang w:eastAsia="ja-JP"/>
        </w:rPr>
        <w:t>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 and HARQ operation</w:t>
      </w:r>
    </w:p>
    <w:p w14:paraId="68A1E31E">
      <w:pPr>
        <w:pStyle w:val="59"/>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downlink</w:t>
      </w:r>
      <w:r>
        <w:rPr>
          <w:rFonts w:ascii="Arial" w:hAnsi="Arial" w:cs="Arial"/>
          <w:sz w:val="22"/>
          <w:szCs w:val="22"/>
          <w:lang w:eastAsia="en-US"/>
        </w:rPr>
        <w:t xml:space="preserve"> control</w:t>
      </w:r>
      <w:r>
        <w:rPr>
          <w:rFonts w:hint="eastAsia" w:ascii="Arial" w:hAnsi="Arial" w:eastAsia="ＭＳ 明朝" w:cs="Arial"/>
          <w:sz w:val="22"/>
          <w:szCs w:val="22"/>
          <w:lang w:eastAsia="ja-JP"/>
        </w:rPr>
        <w:t xml:space="preserve"> channel</w:t>
      </w:r>
      <w:r>
        <w:rPr>
          <w:rFonts w:ascii="Arial" w:hAnsi="Arial" w:cs="Arial"/>
          <w:sz w:val="22"/>
          <w:szCs w:val="22"/>
          <w:lang w:eastAsia="en-US"/>
        </w:rPr>
        <w:t>, scheduling</w:t>
      </w:r>
      <w:r>
        <w:rPr>
          <w:rFonts w:hint="eastAsia" w:ascii="Arial" w:hAnsi="Arial" w:eastAsia="ＭＳ 明朝" w:cs="Arial"/>
          <w:sz w:val="22"/>
          <w:szCs w:val="22"/>
          <w:lang w:eastAsia="ja-JP"/>
        </w:rPr>
        <w:t>,</w:t>
      </w:r>
      <w:r>
        <w:rPr>
          <w:rFonts w:ascii="Arial" w:hAnsi="Arial" w:cs="Arial"/>
          <w:sz w:val="22"/>
          <w:szCs w:val="22"/>
          <w:lang w:eastAsia="en-US"/>
        </w:rPr>
        <w:t xml:space="preserve"> HARQ operation</w:t>
      </w:r>
      <w:r>
        <w:rPr>
          <w:rFonts w:hint="eastAsia" w:ascii="Arial" w:hAnsi="Arial" w:eastAsia="ＭＳ 明朝" w:cs="Arial"/>
          <w:sz w:val="22"/>
          <w:szCs w:val="22"/>
          <w:lang w:eastAsia="ja-JP"/>
        </w:rPr>
        <w:t>, as well as o</w:t>
      </w:r>
      <w:r>
        <w:rPr>
          <w:rFonts w:ascii="Arial" w:hAnsi="Arial" w:eastAsia="ＭＳ 明朝" w:cs="Arial"/>
          <w:sz w:val="22"/>
          <w:szCs w:val="22"/>
          <w:lang w:eastAsia="ja-JP"/>
        </w:rPr>
        <w:t>ther physical layer signals, channels and procedure</w:t>
      </w:r>
    </w:p>
    <w:p w14:paraId="5455AF94">
      <w:pPr>
        <w:pStyle w:val="59"/>
        <w:numPr>
          <w:ilvl w:val="0"/>
          <w:numId w:val="6"/>
        </w:numPr>
        <w:rPr>
          <w:rFonts w:ascii="Arial" w:hAnsi="Arial" w:cs="Arial" w:eastAsiaTheme="minorEastAsia"/>
          <w:sz w:val="22"/>
          <w:szCs w:val="22"/>
          <w:lang w:eastAsia="en-US"/>
        </w:rPr>
      </w:pPr>
      <w:r>
        <w:rPr>
          <w:rFonts w:hint="eastAsia" w:ascii="Arial" w:hAnsi="Arial" w:eastAsia="ＭＳ 明朝" w:cs="Arial"/>
          <w:sz w:val="22"/>
          <w:szCs w:val="22"/>
          <w:lang w:eastAsia="ja-JP"/>
        </w:rPr>
        <w:t>WUS and operation</w:t>
      </w:r>
    </w:p>
    <w:p w14:paraId="17D80AD5">
      <w:pPr>
        <w:pStyle w:val="59"/>
        <w:numPr>
          <w:ilvl w:val="1"/>
          <w:numId w:val="6"/>
        </w:numPr>
        <w:ind w:left="1080" w:hanging="360"/>
        <w:rPr>
          <w:rFonts w:ascii="Arial" w:hAnsi="Arial" w:cs="Arial" w:eastAsiaTheme="minorEastAsia"/>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 xml:space="preserve">for </w:t>
      </w:r>
      <w:r>
        <w:rPr>
          <w:rFonts w:ascii="Arial" w:hAnsi="Arial" w:eastAsia="ＭＳ 明朝" w:cs="Arial"/>
          <w:bCs/>
          <w:sz w:val="22"/>
          <w:szCs w:val="22"/>
          <w:lang w:eastAsia="ja-JP"/>
        </w:rPr>
        <w:t>Downlink WUS and operation</w:t>
      </w:r>
      <w:r>
        <w:rPr>
          <w:rFonts w:hint="eastAsia" w:ascii="Arial" w:hAnsi="Arial" w:eastAsia="ＭＳ 明朝" w:cs="Arial"/>
          <w:bCs/>
          <w:sz w:val="22"/>
          <w:szCs w:val="22"/>
          <w:lang w:eastAsia="ja-JP"/>
        </w:rPr>
        <w:t xml:space="preserve"> and </w:t>
      </w:r>
      <w:r>
        <w:rPr>
          <w:rFonts w:ascii="Arial" w:hAnsi="Arial" w:eastAsia="ＭＳ 明朝" w:cs="Arial"/>
          <w:bCs/>
          <w:sz w:val="22"/>
          <w:szCs w:val="22"/>
          <w:lang w:eastAsia="ja-JP"/>
        </w:rPr>
        <w:t>Uplink WUS and operation</w:t>
      </w:r>
    </w:p>
    <w:p w14:paraId="68A1E323">
      <w:pPr>
        <w:pStyle w:val="59"/>
        <w:numPr>
          <w:ilvl w:val="0"/>
          <w:numId w:val="6"/>
        </w:numPr>
        <w:rPr>
          <w:rFonts w:ascii="Arial" w:hAnsi="Arial" w:cs="Arial"/>
          <w:sz w:val="22"/>
          <w:szCs w:val="22"/>
          <w:lang w:eastAsia="en-US"/>
        </w:rPr>
      </w:pPr>
      <w:r>
        <w:rPr>
          <w:rFonts w:ascii="Arial" w:hAnsi="Arial" w:cs="Arial"/>
          <w:sz w:val="22"/>
          <w:szCs w:val="22"/>
          <w:lang w:eastAsia="en-US"/>
        </w:rPr>
        <w:t>NTN</w:t>
      </w:r>
    </w:p>
    <w:p w14:paraId="68A1E324">
      <w:pPr>
        <w:pStyle w:val="59"/>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including </w:t>
      </w:r>
      <w:r>
        <w:rPr>
          <w:rFonts w:ascii="Arial" w:hAnsi="Arial" w:eastAsia="ＭＳ 明朝" w:cs="Arial"/>
          <w:bCs/>
          <w:sz w:val="22"/>
          <w:szCs w:val="22"/>
          <w:lang w:eastAsia="ja-JP"/>
        </w:rPr>
        <w:t>NTN specific requirements and design for GNSS based operation</w:t>
      </w:r>
    </w:p>
    <w:p w14:paraId="68A1E327">
      <w:pPr>
        <w:rPr>
          <w:rFonts w:ascii="Arial" w:hAnsi="Arial" w:eastAsia="ＭＳ 明朝" w:cs="Arial"/>
          <w:lang w:eastAsia="ja-JP"/>
        </w:rPr>
      </w:pPr>
    </w:p>
    <w:p w14:paraId="68A1E32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9</w:t>
      </w:r>
      <w:r>
        <w:rPr>
          <w:rFonts w:ascii="Arial" w:hAnsi="Arial" w:cs="Arial"/>
          <w:lang w:eastAsia="zh-CN"/>
        </w:rPr>
        <w:t xml:space="preserve"> TU)</w:t>
      </w:r>
    </w:p>
    <w:p w14:paraId="05CCC003">
      <w:pPr>
        <w:numPr>
          <w:ilvl w:val="0"/>
          <w:numId w:val="10"/>
        </w:numPr>
        <w:spacing w:after="0"/>
        <w:rPr>
          <w:rFonts w:ascii="Arial" w:hAnsi="Arial" w:eastAsia="ＭＳ 明朝" w:cs="Arial"/>
          <w:lang w:eastAsia="ja-JP"/>
        </w:rPr>
      </w:pPr>
      <w:r>
        <w:rPr>
          <w:rFonts w:ascii="Arial" w:hAnsi="Arial" w:eastAsia="ＭＳ 明朝" w:cs="Arial"/>
          <w:lang w:eastAsia="ja-JP"/>
        </w:rPr>
        <w:t xml:space="preserve">General </w:t>
      </w:r>
    </w:p>
    <w:p w14:paraId="1AEEDC3A">
      <w:pPr>
        <w:numPr>
          <w:ilvl w:val="1"/>
          <w:numId w:val="10"/>
        </w:numPr>
        <w:spacing w:after="0"/>
        <w:rPr>
          <w:rFonts w:ascii="Arial" w:hAnsi="Arial" w:eastAsia="ＭＳ 明朝" w:cs="Arial"/>
          <w:lang w:eastAsia="ja-JP"/>
        </w:rPr>
      </w:pPr>
      <w:r>
        <w:rPr>
          <w:rFonts w:ascii="Arial" w:hAnsi="Arial" w:eastAsia="ＭＳ 明朝" w:cs="Arial"/>
          <w:lang w:eastAsia="ja-JP"/>
        </w:rPr>
        <w:t>UE capability framework</w:t>
      </w:r>
    </w:p>
    <w:p w14:paraId="58836C32">
      <w:pPr>
        <w:numPr>
          <w:ilvl w:val="1"/>
          <w:numId w:val="10"/>
        </w:numPr>
        <w:spacing w:after="0"/>
        <w:rPr>
          <w:rFonts w:ascii="Arial" w:hAnsi="Arial" w:eastAsia="ＭＳ 明朝" w:cs="Arial"/>
          <w:color w:val="D9D9D9" w:themeColor="background1" w:themeShade="D9"/>
          <w:lang w:eastAsia="ja-JP"/>
        </w:rPr>
      </w:pPr>
      <w:r>
        <w:rPr>
          <w:rFonts w:hint="eastAsia" w:ascii="Arial" w:hAnsi="Arial" w:eastAsia="ＭＳ 明朝" w:cs="Arial"/>
          <w:color w:val="D9D9D9" w:themeColor="background1" w:themeShade="D9"/>
          <w:lang w:eastAsia="ja-JP"/>
        </w:rPr>
        <w:t>TN/NTN Harmonization</w:t>
      </w:r>
    </w:p>
    <w:p w14:paraId="44DA8CCF">
      <w:pPr>
        <w:numPr>
          <w:ilvl w:val="1"/>
          <w:numId w:val="10"/>
        </w:numPr>
        <w:spacing w:after="0"/>
        <w:rPr>
          <w:rFonts w:ascii="Arial" w:hAnsi="Arial" w:eastAsia="ＭＳ 明朝" w:cs="Arial"/>
          <w:lang w:eastAsia="ja-JP"/>
        </w:rPr>
      </w:pPr>
      <w:r>
        <w:rPr>
          <w:rFonts w:hint="eastAsia" w:ascii="Arial" w:hAnsi="Arial" w:eastAsia="宋体" w:cs="Arial"/>
          <w:lang w:eastAsia="zh-CN"/>
        </w:rPr>
        <w:t>Others</w:t>
      </w:r>
    </w:p>
    <w:p w14:paraId="0F58C874">
      <w:pPr>
        <w:numPr>
          <w:ilvl w:val="0"/>
          <w:numId w:val="10"/>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5C0EC927">
      <w:pPr>
        <w:numPr>
          <w:ilvl w:val="1"/>
          <w:numId w:val="10"/>
        </w:numPr>
        <w:spacing w:after="0"/>
        <w:rPr>
          <w:rFonts w:ascii="Arial" w:hAnsi="Arial" w:eastAsia="ＭＳ 明朝" w:cs="Arial"/>
          <w:lang w:eastAsia="ja-JP"/>
        </w:rPr>
      </w:pPr>
      <w:r>
        <w:rPr>
          <w:rFonts w:ascii="Arial" w:hAnsi="Arial" w:eastAsia="ＭＳ 明朝" w:cs="Arial"/>
          <w:lang w:eastAsia="ja-JP"/>
        </w:rPr>
        <w:t>User plane</w:t>
      </w:r>
    </w:p>
    <w:p w14:paraId="3E47D428">
      <w:pPr>
        <w:numPr>
          <w:ilvl w:val="2"/>
          <w:numId w:val="10"/>
        </w:numPr>
        <w:spacing w:after="0"/>
        <w:rPr>
          <w:rFonts w:ascii="Arial" w:hAnsi="Arial" w:eastAsia="ＭＳ 明朝" w:cs="Arial"/>
          <w:lang w:eastAsia="ja-JP"/>
        </w:rPr>
      </w:pPr>
      <w:r>
        <w:rPr>
          <w:rFonts w:ascii="Arial" w:hAnsi="Arial" w:eastAsia="ＭＳ 明朝" w:cs="Arial"/>
          <w:lang w:eastAsia="ja-JP"/>
        </w:rPr>
        <w:t>Mobile AI transmission characteristics</w:t>
      </w:r>
    </w:p>
    <w:p w14:paraId="64A2C717">
      <w:pPr>
        <w:numPr>
          <w:ilvl w:val="2"/>
          <w:numId w:val="10"/>
        </w:numPr>
        <w:spacing w:after="0"/>
        <w:rPr>
          <w:rFonts w:ascii="Arial" w:hAnsi="Arial" w:eastAsia="ＭＳ 明朝" w:cs="Arial"/>
          <w:lang w:eastAsia="ja-JP"/>
        </w:rPr>
      </w:pPr>
      <w:r>
        <w:rPr>
          <w:rFonts w:hint="eastAsia" w:ascii="Arial" w:hAnsi="Arial" w:eastAsia="ＭＳ 明朝" w:cs="Arial"/>
          <w:lang w:eastAsia="ja-JP"/>
        </w:rPr>
        <w:t>Functionality for User Plane and related functional requirements</w:t>
      </w:r>
    </w:p>
    <w:p w14:paraId="53BC9EE9">
      <w:pPr>
        <w:numPr>
          <w:ilvl w:val="2"/>
          <w:numId w:val="10"/>
        </w:numPr>
        <w:spacing w:after="0"/>
        <w:rPr>
          <w:rFonts w:ascii="Arial" w:hAnsi="Arial" w:eastAsia="ＭＳ 明朝" w:cs="Arial"/>
          <w:lang w:eastAsia="ja-JP"/>
        </w:rPr>
      </w:pPr>
      <w:r>
        <w:rPr>
          <w:rFonts w:ascii="Arial" w:hAnsi="Arial" w:eastAsia="ＭＳ 明朝" w:cs="Arial"/>
          <w:lang w:eastAsia="ja-JP"/>
        </w:rPr>
        <w:t>QoS, QoE and Service-awareness</w:t>
      </w:r>
    </w:p>
    <w:p w14:paraId="06293D85">
      <w:pPr>
        <w:numPr>
          <w:ilvl w:val="2"/>
          <w:numId w:val="10"/>
        </w:numPr>
        <w:spacing w:after="0"/>
        <w:rPr>
          <w:rFonts w:ascii="Arial" w:hAnsi="Arial" w:eastAsia="ＭＳ 明朝" w:cs="Arial"/>
          <w:lang w:eastAsia="ja-JP"/>
        </w:rPr>
      </w:pPr>
      <w:r>
        <w:rPr>
          <w:rFonts w:ascii="Arial" w:hAnsi="Arial" w:eastAsia="ＭＳ 明朝" w:cs="Arial"/>
          <w:lang w:eastAsia="ja-JP"/>
        </w:rPr>
        <w:t>Scheduling</w:t>
      </w:r>
    </w:p>
    <w:p w14:paraId="7729C7DE">
      <w:pPr>
        <w:numPr>
          <w:ilvl w:val="1"/>
          <w:numId w:val="10"/>
        </w:numPr>
        <w:spacing w:after="0"/>
        <w:rPr>
          <w:rFonts w:ascii="Arial" w:hAnsi="Arial" w:eastAsia="ＭＳ 明朝" w:cs="Arial"/>
          <w:lang w:eastAsia="ja-JP"/>
        </w:rPr>
      </w:pPr>
      <w:r>
        <w:rPr>
          <w:rFonts w:ascii="Arial" w:hAnsi="Arial" w:eastAsia="ＭＳ 明朝" w:cs="Arial"/>
          <w:lang w:eastAsia="ja-JP"/>
        </w:rPr>
        <w:t>Control plane</w:t>
      </w:r>
    </w:p>
    <w:p w14:paraId="18E58477">
      <w:pPr>
        <w:numPr>
          <w:ilvl w:val="2"/>
          <w:numId w:val="10"/>
        </w:numPr>
        <w:spacing w:after="0"/>
        <w:rPr>
          <w:rFonts w:ascii="Arial" w:hAnsi="Arial" w:eastAsia="ＭＳ 明朝" w:cs="Arial"/>
          <w:lang w:eastAsia="ja-JP"/>
        </w:rPr>
      </w:pPr>
      <w:r>
        <w:rPr>
          <w:rFonts w:hint="eastAsia" w:ascii="Arial" w:hAnsi="Arial" w:eastAsia="ＭＳ 明朝" w:cs="Arial"/>
          <w:lang w:eastAsia="ja-JP"/>
        </w:rPr>
        <w:t>RRC Modelling and connection management</w:t>
      </w:r>
    </w:p>
    <w:p w14:paraId="3817839A">
      <w:pPr>
        <w:numPr>
          <w:ilvl w:val="2"/>
          <w:numId w:val="10"/>
        </w:numPr>
        <w:spacing w:after="0"/>
        <w:rPr>
          <w:rFonts w:ascii="Arial" w:hAnsi="Arial" w:eastAsia="ＭＳ 明朝" w:cs="Arial"/>
          <w:lang w:eastAsia="ja-JP"/>
        </w:rPr>
      </w:pPr>
      <w:r>
        <w:rPr>
          <w:rFonts w:hint="eastAsia" w:ascii="Arial" w:hAnsi="Arial" w:eastAsia="ＭＳ 明朝" w:cs="Arial"/>
          <w:lang w:eastAsia="ja-JP"/>
        </w:rPr>
        <w:t>RRC Structure and (re)configuration</w:t>
      </w:r>
    </w:p>
    <w:p w14:paraId="79207186">
      <w:pPr>
        <w:numPr>
          <w:ilvl w:val="2"/>
          <w:numId w:val="10"/>
        </w:numPr>
        <w:spacing w:after="0"/>
        <w:rPr>
          <w:rFonts w:ascii="Arial" w:hAnsi="Arial" w:eastAsia="ＭＳ 明朝" w:cs="Arial"/>
          <w:lang w:eastAsia="ja-JP"/>
        </w:rPr>
      </w:pPr>
      <w:r>
        <w:rPr>
          <w:rFonts w:hint="eastAsia" w:ascii="Arial" w:hAnsi="Arial" w:eastAsia="ＭＳ 明朝" w:cs="Arial"/>
          <w:lang w:eastAsia="ja-JP"/>
        </w:rPr>
        <w:t>System Information</w:t>
      </w:r>
    </w:p>
    <w:p w14:paraId="6CB025ED">
      <w:pPr>
        <w:numPr>
          <w:ilvl w:val="2"/>
          <w:numId w:val="10"/>
        </w:numPr>
        <w:spacing w:after="0"/>
        <w:rPr>
          <w:rFonts w:ascii="Arial" w:hAnsi="Arial" w:eastAsia="ＭＳ 明朝" w:cs="Arial"/>
          <w:lang w:eastAsia="ja-JP"/>
        </w:rPr>
      </w:pPr>
      <w:r>
        <w:rPr>
          <w:rFonts w:hint="eastAsia" w:ascii="Arial" w:hAnsi="Arial" w:eastAsia="ＭＳ 明朝" w:cs="Arial"/>
          <w:lang w:eastAsia="ja-JP"/>
        </w:rPr>
        <w:t>Paging</w:t>
      </w:r>
    </w:p>
    <w:p w14:paraId="3CABE5DE">
      <w:pPr>
        <w:numPr>
          <w:ilvl w:val="1"/>
          <w:numId w:val="10"/>
        </w:numPr>
        <w:spacing w:after="0"/>
        <w:rPr>
          <w:rFonts w:ascii="Arial" w:hAnsi="Arial" w:eastAsia="ＭＳ 明朝" w:cs="Arial"/>
          <w:bCs/>
          <w:lang w:eastAsia="ja-JP"/>
        </w:rPr>
      </w:pPr>
      <w:r>
        <w:rPr>
          <w:rFonts w:hint="eastAsia" w:ascii="Arial" w:hAnsi="Arial" w:eastAsia="ＭＳ 明朝" w:cs="Arial"/>
          <w:bCs/>
          <w:lang w:eastAsia="ja-JP"/>
        </w:rPr>
        <w:t>Common User plane and Control plane</w:t>
      </w:r>
    </w:p>
    <w:p w14:paraId="299E375D">
      <w:pPr>
        <w:numPr>
          <w:ilvl w:val="2"/>
          <w:numId w:val="10"/>
        </w:numPr>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 xml:space="preserve">Data transfer </w:t>
      </w:r>
      <w:r>
        <w:rPr>
          <w:rFonts w:hint="eastAsia" w:ascii="Arial" w:hAnsi="Arial" w:eastAsia="宋体" w:cs="Arial"/>
          <w:bCs/>
          <w:lang w:eastAsia="zh-CN"/>
        </w:rPr>
        <w:t>and model transfer</w:t>
      </w:r>
    </w:p>
    <w:p w14:paraId="35BEA9BA">
      <w:pPr>
        <w:numPr>
          <w:ilvl w:val="2"/>
          <w:numId w:val="10"/>
        </w:numPr>
        <w:spacing w:after="0"/>
        <w:rPr>
          <w:rFonts w:ascii="Arial" w:hAnsi="Arial" w:eastAsia="ＭＳ 明朝" w:cs="Arial"/>
          <w:bCs/>
          <w:lang w:eastAsia="ja-JP"/>
        </w:rPr>
      </w:pPr>
      <w:r>
        <w:rPr>
          <w:rFonts w:hint="eastAsia" w:ascii="Arial" w:hAnsi="Arial" w:eastAsia="宋体" w:cs="Arial"/>
          <w:bCs/>
          <w:lang w:eastAsia="zh-CN"/>
        </w:rPr>
        <w:t>Energy efficiency</w:t>
      </w:r>
    </w:p>
    <w:p w14:paraId="6E820E39">
      <w:pPr>
        <w:numPr>
          <w:ilvl w:val="2"/>
          <w:numId w:val="10"/>
        </w:numPr>
        <w:spacing w:after="0"/>
        <w:rPr>
          <w:rFonts w:ascii="Arial" w:hAnsi="Arial" w:eastAsia="ＭＳ 明朝" w:cs="Arial"/>
          <w:bCs/>
          <w:lang w:eastAsia="ja-JP"/>
        </w:rPr>
      </w:pPr>
      <w:r>
        <w:rPr>
          <w:rFonts w:hint="eastAsia" w:ascii="Arial" w:hAnsi="Arial" w:eastAsia="宋体" w:cs="Arial"/>
          <w:bCs/>
          <w:lang w:eastAsia="zh-CN"/>
        </w:rPr>
        <w:t>Security</w:t>
      </w:r>
    </w:p>
    <w:p w14:paraId="0E688FC1">
      <w:pPr>
        <w:numPr>
          <w:ilvl w:val="0"/>
          <w:numId w:val="10"/>
        </w:numPr>
        <w:spacing w:after="0"/>
        <w:rPr>
          <w:rFonts w:ascii="Arial" w:hAnsi="Arial" w:eastAsia="ＭＳ 明朝" w:cs="Arial"/>
          <w:lang w:eastAsia="ja-JP"/>
        </w:rPr>
      </w:pPr>
      <w:r>
        <w:rPr>
          <w:rFonts w:ascii="Arial" w:hAnsi="Arial" w:eastAsia="ＭＳ 明朝" w:cs="Arial"/>
          <w:lang w:eastAsia="ja-JP"/>
        </w:rPr>
        <w:t>AI/ML for 6GR</w:t>
      </w:r>
    </w:p>
    <w:p w14:paraId="5C5F9A15">
      <w:pPr>
        <w:numPr>
          <w:ilvl w:val="1"/>
          <w:numId w:val="11"/>
        </w:numPr>
        <w:spacing w:after="0"/>
        <w:rPr>
          <w:rFonts w:ascii="Arial" w:hAnsi="Arial" w:eastAsia="ＭＳ 明朝" w:cs="Arial"/>
          <w:lang w:eastAsia="ja-JP"/>
        </w:rPr>
      </w:pPr>
      <w:r>
        <w:rPr>
          <w:rFonts w:ascii="Arial" w:hAnsi="Arial" w:eastAsia="ＭＳ 明朝" w:cs="Arial"/>
          <w:lang w:eastAsia="ja-JP"/>
        </w:rPr>
        <w:t>AI/ML use cases</w:t>
      </w:r>
    </w:p>
    <w:p w14:paraId="5AA6EF98">
      <w:pPr>
        <w:numPr>
          <w:ilvl w:val="1"/>
          <w:numId w:val="11"/>
        </w:numPr>
        <w:spacing w:after="0"/>
        <w:rPr>
          <w:rFonts w:ascii="Arial" w:hAnsi="Arial" w:eastAsia="ＭＳ 明朝" w:cs="Arial"/>
          <w:color w:val="D9D9D9" w:themeColor="background1" w:themeShade="D9"/>
          <w:lang w:eastAsia="ja-JP"/>
        </w:rPr>
      </w:pPr>
      <w:r>
        <w:rPr>
          <w:rFonts w:hint="eastAsia" w:ascii="Arial" w:hAnsi="Arial" w:eastAsia="ＭＳ 明朝" w:cs="Arial"/>
          <w:color w:val="D9D9D9" w:themeColor="background1" w:themeShade="D9"/>
          <w:lang w:eastAsia="ja-JP"/>
        </w:rPr>
        <w:t>LCM Procedure</w:t>
      </w:r>
    </w:p>
    <w:p w14:paraId="51427D7F">
      <w:pPr>
        <w:numPr>
          <w:ilvl w:val="1"/>
          <w:numId w:val="11"/>
        </w:numPr>
        <w:spacing w:after="0"/>
        <w:rPr>
          <w:rFonts w:ascii="Arial" w:hAnsi="Arial" w:eastAsia="ＭＳ 明朝" w:cs="Arial"/>
          <w:lang w:eastAsia="ja-JP"/>
        </w:rPr>
      </w:pPr>
      <w:r>
        <w:rPr>
          <w:rFonts w:ascii="Arial" w:hAnsi="Arial" w:eastAsia="ＭＳ 明朝" w:cs="Arial"/>
          <w:lang w:eastAsia="ja-JP"/>
        </w:rPr>
        <w:t>Data collection and data management</w:t>
      </w:r>
    </w:p>
    <w:p w14:paraId="7ED564D3">
      <w:pPr>
        <w:numPr>
          <w:ilvl w:val="0"/>
          <w:numId w:val="10"/>
        </w:numPr>
        <w:spacing w:after="0"/>
        <w:rPr>
          <w:rFonts w:ascii="Arial" w:hAnsi="Arial" w:eastAsia="ＭＳ 明朝" w:cs="Arial"/>
          <w:lang w:eastAsia="ja-JP"/>
        </w:rPr>
      </w:pPr>
      <w:r>
        <w:rPr>
          <w:rFonts w:ascii="Arial" w:hAnsi="Arial" w:eastAsia="ＭＳ 明朝" w:cs="Arial"/>
          <w:lang w:eastAsia="ja-JP"/>
        </w:rPr>
        <w:t xml:space="preserve">Mobility </w:t>
      </w:r>
    </w:p>
    <w:p w14:paraId="5B89DDE0">
      <w:pPr>
        <w:numPr>
          <w:ilvl w:val="0"/>
          <w:numId w:val="10"/>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5311B184">
      <w:pPr>
        <w:numPr>
          <w:ilvl w:val="0"/>
          <w:numId w:val="10"/>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68A1E32A">
      <w:pPr>
        <w:rPr>
          <w:rFonts w:ascii="Arial" w:hAnsi="Arial" w:eastAsia="ＭＳ 明朝" w:cs="Arial"/>
          <w:lang w:eastAsia="ja-JP"/>
        </w:rPr>
      </w:pPr>
    </w:p>
    <w:p w14:paraId="68A1E32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5</w:t>
      </w:r>
      <w:r>
        <w:rPr>
          <w:rFonts w:ascii="Arial" w:hAnsi="Arial" w:cs="Arial"/>
          <w:lang w:eastAsia="zh-CN"/>
        </w:rPr>
        <w:t xml:space="preserve"> TU)</w:t>
      </w:r>
    </w:p>
    <w:p w14:paraId="68A1E32C">
      <w:pPr>
        <w:pStyle w:val="59"/>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68A1E32D">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68A1E32E">
      <w:pPr>
        <w:pStyle w:val="59"/>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2F">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options for functional split, interface, protocol stack and procedures</w:t>
      </w:r>
    </w:p>
    <w:p w14:paraId="68A1E330">
      <w:pPr>
        <w:pStyle w:val="59"/>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31">
      <w:pPr>
        <w:pStyle w:val="59"/>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identified options regarding internal functional split, interfaces, protocol stacks and procedures</w:t>
      </w:r>
    </w:p>
    <w:p w14:paraId="4F9B8E57">
      <w:pPr>
        <w:pStyle w:val="59"/>
        <w:numPr>
          <w:ilvl w:val="2"/>
          <w:numId w:val="6"/>
        </w:numPr>
        <w:rPr>
          <w:rFonts w:ascii="Arial" w:hAnsi="Arial" w:eastAsia="ＭＳ 明朝" w:cs="Arial"/>
          <w:sz w:val="22"/>
          <w:szCs w:val="22"/>
          <w:lang w:eastAsia="ja-JP"/>
        </w:rPr>
      </w:pPr>
      <w:r>
        <w:rPr>
          <w:rFonts w:ascii="Arial" w:hAnsi="Arial" w:eastAsia="ＭＳ 明朝" w:cs="Arial"/>
          <w:sz w:val="22"/>
          <w:szCs w:val="22"/>
          <w:lang w:eastAsia="ja-JP"/>
        </w:rPr>
        <w:t xml:space="preserve">High-Layer Functional Split: Benefits and Challenges </w:t>
      </w:r>
    </w:p>
    <w:p w14:paraId="2B1E42A0">
      <w:pPr>
        <w:pStyle w:val="59"/>
        <w:numPr>
          <w:ilvl w:val="2"/>
          <w:numId w:val="6"/>
        </w:numPr>
        <w:ind w:left="1800" w:hanging="360"/>
        <w:rPr>
          <w:rFonts w:hint="eastAsia" w:ascii="Arial" w:hAnsi="Arial" w:eastAsia="ＭＳ 明朝" w:cs="Arial"/>
          <w:sz w:val="22"/>
          <w:szCs w:val="22"/>
          <w:lang w:eastAsia="ja-JP"/>
        </w:rPr>
      </w:pPr>
      <w:r>
        <w:rPr>
          <w:rFonts w:ascii="Arial" w:hAnsi="Arial" w:eastAsia="ＭＳ 明朝" w:cs="Arial"/>
          <w:sz w:val="22"/>
          <w:szCs w:val="22"/>
          <w:lang w:eastAsia="ja-JP"/>
        </w:rPr>
        <w:t>Interface between 6G RAN Nodes</w:t>
      </w:r>
    </w:p>
    <w:p w14:paraId="68A1E332">
      <w:pPr>
        <w:pStyle w:val="59"/>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68A1E337">
      <w:pPr>
        <w:pStyle w:val="59"/>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68A1E338">
      <w:pPr>
        <w:rPr>
          <w:rFonts w:ascii="Arial" w:hAnsi="Arial" w:cs="Arial"/>
          <w:highlight w:val="yellow"/>
        </w:rPr>
      </w:pPr>
    </w:p>
    <w:p w14:paraId="68A1E339">
      <w:pPr>
        <w:rPr>
          <w:rFonts w:ascii="Arial" w:hAnsi="Arial" w:eastAsia="ＭＳ 明朝" w:cs="Arial"/>
          <w:lang w:eastAsia="ja-JP"/>
        </w:rPr>
      </w:pPr>
    </w:p>
    <w:p w14:paraId="68A1E33A">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w:t>
      </w:r>
      <w:r>
        <w:rPr>
          <w:rFonts w:ascii="Arial" w:hAnsi="Arial" w:cs="Arial"/>
          <w:b/>
          <w:lang w:eastAsia="zh-CN"/>
        </w:rPr>
        <w:t xml:space="preserve"> </w:t>
      </w:r>
      <w:r>
        <w:rPr>
          <w:rFonts w:ascii="Arial" w:hAnsi="Arial" w:cs="Arial"/>
          <w:lang w:eastAsia="zh-CN"/>
        </w:rPr>
        <w:t>(7 TU)</w:t>
      </w:r>
    </w:p>
    <w:p w14:paraId="68A1E33B">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3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68A1E33D">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3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3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40">
      <w:pPr>
        <w:pStyle w:val="59"/>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68A1E341">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4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68A1E34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68A1E34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8A1E34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46">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4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4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8A1E34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68A1E34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68A1E34B">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4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4D">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4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4F">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5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5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52">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5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5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55">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5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57">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5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5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5A">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5B">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5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5D">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5E">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5F">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6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61">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62">
      <w:pPr>
        <w:rPr>
          <w:rFonts w:ascii="Arial" w:hAnsi="Arial" w:eastAsia="ＭＳ 明朝" w:cs="Arial"/>
          <w:lang w:eastAsia="ja-JP"/>
        </w:rPr>
      </w:pPr>
    </w:p>
    <w:p w14:paraId="68A1E363">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6</w:t>
      </w:r>
    </w:p>
    <w:p w14:paraId="68A1E364">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0DD7DF88">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380">
      <w:pPr>
        <w:rPr>
          <w:rFonts w:ascii="Arial" w:hAnsi="Arial" w:eastAsia="ＭＳ 明朝" w:cs="Arial"/>
          <w:lang w:eastAsia="ja-JP"/>
        </w:rPr>
      </w:pPr>
    </w:p>
    <w:p w14:paraId="68A1E3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82">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83">
      <w:pPr>
        <w:rPr>
          <w:rFonts w:ascii="Arial" w:hAnsi="Arial" w:eastAsia="ＭＳ 明朝" w:cs="Arial"/>
          <w:lang w:eastAsia="ja-JP"/>
        </w:rPr>
      </w:pPr>
    </w:p>
    <w:p w14:paraId="68A1E38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8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8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w:t>
      </w:r>
    </w:p>
    <w:p w14:paraId="68A1E38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88">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options (SBI vs p2p) for functional split, interface, protocol stack and procedures</w:t>
      </w:r>
    </w:p>
    <w:p w14:paraId="68A1E38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8A">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identified options regarding internal functional split, interfaces, protocol stacks and procedures</w:t>
      </w:r>
    </w:p>
    <w:p w14:paraId="68A1E38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9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91">
      <w:pPr>
        <w:rPr>
          <w:rFonts w:ascii="Arial" w:hAnsi="Arial" w:cs="Arial"/>
          <w:highlight w:val="green"/>
        </w:rPr>
      </w:pPr>
    </w:p>
    <w:p w14:paraId="68A1E392">
      <w:pPr>
        <w:pStyle w:val="59"/>
        <w:ind w:left="360"/>
        <w:rPr>
          <w:rFonts w:ascii="Arial" w:hAnsi="Arial" w:eastAsia="ＭＳ 明朝" w:cs="Arial"/>
          <w:lang w:eastAsia="ja-JP"/>
        </w:rPr>
      </w:pPr>
    </w:p>
    <w:p w14:paraId="68A1E393">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9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9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RAN4 chair will coordinate with RAN1 chair to plan a joint session to harmonize the discussion and decision between RAN1 and RAN4. </w:t>
      </w:r>
    </w:p>
    <w:p w14:paraId="68A1E396">
      <w:pPr>
        <w:pStyle w:val="59"/>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9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68A1E39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68A1E399">
      <w:pPr>
        <w:pStyle w:val="59"/>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68A1E39A">
      <w:pPr>
        <w:pStyle w:val="59"/>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9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68A1E39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9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9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discussion on models, scenarios, parameters, and methodologies to be used in conducting 6G coexistence studies.</w:t>
      </w:r>
    </w:p>
    <w:p w14:paraId="68A1E39F">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A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A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A2">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68A1E3A3">
      <w:pPr>
        <w:pStyle w:val="59"/>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68A1E3A4">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A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A6">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3A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3A8">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3A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3A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3AB">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3AC">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3AD">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3AE">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3AF">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3B0">
      <w:pPr>
        <w:pStyle w:val="59"/>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68A1E3B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8A1E3B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8A1E3B3">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3B4">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3B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3B6">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3B7">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3B8">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3B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3BA">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3BB">
      <w:pPr>
        <w:rPr>
          <w:rFonts w:ascii="Arial" w:hAnsi="Arial" w:eastAsia="ＭＳ 明朝" w:cs="Arial"/>
          <w:lang w:eastAsia="ja-JP"/>
        </w:rPr>
      </w:pPr>
    </w:p>
    <w:p w14:paraId="68A1E3BC">
      <w:pPr>
        <w:rPr>
          <w:rFonts w:ascii="Arial" w:hAnsi="Arial" w:eastAsia="ＭＳ 明朝" w:cs="Arial"/>
          <w:lang w:eastAsia="ja-JP"/>
        </w:rPr>
      </w:pPr>
    </w:p>
    <w:p w14:paraId="68A1E3BD">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68A1E3BE">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1454CF5">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3DA">
      <w:pPr>
        <w:rPr>
          <w:rFonts w:ascii="Arial" w:hAnsi="Arial" w:eastAsia="ＭＳ 明朝" w:cs="Arial"/>
          <w:lang w:eastAsia="ja-JP"/>
        </w:rPr>
      </w:pPr>
    </w:p>
    <w:p w14:paraId="68A1E3D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68A1E3D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3DD">
      <w:pPr>
        <w:rPr>
          <w:rFonts w:ascii="Arial" w:hAnsi="Arial" w:eastAsia="ＭＳ 明朝" w:cs="Arial"/>
          <w:lang w:eastAsia="ja-JP"/>
        </w:rPr>
      </w:pPr>
    </w:p>
    <w:p w14:paraId="68A1E3D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3DF">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3E0">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68A1E3E1">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3E2">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68A1E3E3">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3E4">
      <w:pPr>
        <w:pStyle w:val="59"/>
        <w:numPr>
          <w:ilvl w:val="1"/>
          <w:numId w:val="6"/>
        </w:numPr>
        <w:rPr>
          <w:rFonts w:ascii="Arial" w:hAnsi="Arial" w:cs="Arial"/>
          <w:sz w:val="22"/>
          <w:szCs w:val="22"/>
          <w:lang w:eastAsia="en-US"/>
        </w:rPr>
      </w:pPr>
      <w:r>
        <w:rPr>
          <w:rFonts w:ascii="Arial" w:hAnsi="Arial" w:cs="Arial"/>
          <w:sz w:val="22"/>
          <w:szCs w:val="22"/>
          <w:lang w:eastAsia="en-US"/>
        </w:rPr>
        <w: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Plenary#112</w:t>
      </w:r>
    </w:p>
    <w:p w14:paraId="68A1E3E5">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3EA">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3EB">
      <w:pPr>
        <w:rPr>
          <w:rFonts w:ascii="Arial" w:hAnsi="Arial" w:eastAsia="ＭＳ 明朝" w:cs="Arial"/>
          <w:lang w:eastAsia="ja-JP"/>
        </w:rPr>
      </w:pPr>
    </w:p>
    <w:p w14:paraId="68A1E3EC">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3ED">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8A1E3EE">
      <w:pPr>
        <w:pStyle w:val="59"/>
        <w:numPr>
          <w:ilvl w:val="1"/>
          <w:numId w:val="6"/>
        </w:numPr>
        <w:jc w:val="left"/>
        <w:rPr>
          <w:rFonts w:ascii="Arial" w:hAnsi="Arial" w:cs="Arial"/>
          <w:sz w:val="22"/>
          <w:szCs w:val="22"/>
          <w:lang w:eastAsia="en-US"/>
        </w:rPr>
      </w:pPr>
      <w:r>
        <w:rPr>
          <w:rFonts w:ascii="Arial" w:hAnsi="Arial" w:cs="Arial"/>
          <w:sz w:val="22"/>
          <w:szCs w:val="22"/>
          <w:lang w:eastAsia="en-US"/>
        </w:rPr>
        <w:t>Decision is made on the aspects of the interim milestone, including waveform, modulation, CBW, numerology, synchronization signal and raster, and irregular channel bandwidth. RAN4 chair will coordinate with RAN1 chair to plan a joint session to harmonize the discussions and decisions between RAN1 and RAN4.</w:t>
      </w:r>
    </w:p>
    <w:p w14:paraId="68A1E3EF">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8A1E3F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68A1E3F1">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discussionon agreements regarding on 6G spectrum aggregation framework, and other joint UE-BS RF issues.</w:t>
      </w:r>
    </w:p>
    <w:p w14:paraId="68A1E3F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8A1E3F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A1E3F4">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non-spectrum and non-AI BS RF.</w:t>
      </w:r>
    </w:p>
    <w:p w14:paraId="68A1E3F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8A1E3F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68A1E3F7">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8A1E3F8">
      <w:pPr>
        <w:pStyle w:val="59"/>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8A1E3F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8A1E3F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68A1E3FB">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68A1E3FC">
      <w:pPr>
        <w:pStyle w:val="59"/>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68A1E3FD">
      <w:pPr>
        <w:pStyle w:val="59"/>
        <w:numPr>
          <w:ilvl w:val="0"/>
          <w:numId w:val="6"/>
        </w:numPr>
        <w:jc w:val="left"/>
        <w:rPr>
          <w:rFonts w:ascii="Arial" w:hAnsi="Arial" w:cs="Arial"/>
          <w:sz w:val="22"/>
          <w:szCs w:val="22"/>
          <w:lang w:eastAsia="en-US"/>
        </w:rPr>
      </w:pPr>
      <w:r>
        <w:rPr>
          <w:rFonts w:ascii="Arial" w:hAnsi="Arial" w:cs="Arial"/>
          <w:sz w:val="22"/>
          <w:szCs w:val="22"/>
          <w:lang w:eastAsia="en-US"/>
        </w:rPr>
        <w:t>RRM</w:t>
      </w:r>
    </w:p>
    <w:p w14:paraId="68A1E3F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8A1E3FF">
      <w:pPr>
        <w:pStyle w:val="59"/>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8A1E400">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8A1E401">
      <w:pPr>
        <w:pStyle w:val="59"/>
        <w:numPr>
          <w:ilvl w:val="0"/>
          <w:numId w:val="6"/>
        </w:numPr>
        <w:jc w:val="left"/>
        <w:rPr>
          <w:rFonts w:ascii="Arial" w:hAnsi="Arial" w:cs="Arial"/>
          <w:sz w:val="22"/>
          <w:szCs w:val="22"/>
          <w:lang w:eastAsia="en-US"/>
        </w:rPr>
      </w:pPr>
      <w:r>
        <w:rPr>
          <w:rFonts w:ascii="Arial" w:hAnsi="Arial" w:cs="Arial"/>
          <w:sz w:val="22"/>
          <w:szCs w:val="22"/>
          <w:lang w:eastAsia="en-US"/>
        </w:rPr>
        <w:t>AI</w:t>
      </w:r>
    </w:p>
    <w:p w14:paraId="68A1E40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68A1E403">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68A1E404">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68A1E405">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8A1E406">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8A1E407">
      <w:pPr>
        <w:pStyle w:val="59"/>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A1E408">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68A1E409">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8A1E40A">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8A1E40B">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68A1E40C">
      <w:pPr>
        <w:pStyle w:val="59"/>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68A1E40D">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8A1E40E">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8A1E40F">
      <w:pPr>
        <w:pStyle w:val="59"/>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8A1E410">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A1E411">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A1E412">
      <w:pPr>
        <w:pStyle w:val="59"/>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68A1E413">
      <w:pPr>
        <w:pStyle w:val="59"/>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68A1E414">
      <w:pPr>
        <w:rPr>
          <w:rFonts w:ascii="Arial" w:hAnsi="Arial" w:eastAsia="ＭＳ 明朝" w:cs="Arial"/>
          <w:lang w:eastAsia="ja-JP"/>
        </w:rPr>
      </w:pPr>
    </w:p>
    <w:p w14:paraId="68A1E415">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68A1E41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76B231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430">
      <w:pPr>
        <w:rPr>
          <w:rFonts w:ascii="Arial" w:hAnsi="Arial" w:eastAsia="ＭＳ 明朝" w:cs="Arial"/>
          <w:lang w:eastAsia="ja-JP"/>
        </w:rPr>
      </w:pPr>
    </w:p>
    <w:p w14:paraId="68A1E43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68A1E432">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33">
      <w:pPr>
        <w:rPr>
          <w:rFonts w:ascii="Arial" w:hAnsi="Arial" w:eastAsia="ＭＳ 明朝" w:cs="Arial"/>
          <w:lang w:eastAsia="ja-JP"/>
        </w:rPr>
      </w:pPr>
    </w:p>
    <w:p w14:paraId="68A1E43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35">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36">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37">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38">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39">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3A">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3B">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40">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41">
      <w:pPr>
        <w:rPr>
          <w:rFonts w:ascii="Arial" w:hAnsi="Arial" w:eastAsia="ＭＳ 明朝" w:cs="Arial"/>
          <w:lang w:eastAsia="ja-JP"/>
        </w:rPr>
      </w:pPr>
    </w:p>
    <w:p w14:paraId="68A1E44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43">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68">
      <w:pPr>
        <w:rPr>
          <w:rFonts w:ascii="Arial" w:hAnsi="Arial" w:eastAsia="ＭＳ 明朝" w:cs="Arial"/>
          <w:lang w:eastAsia="ja-JP"/>
        </w:rPr>
      </w:pPr>
    </w:p>
    <w:p w14:paraId="68A1E469">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68A1E46A">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5494504">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47D">
      <w:pPr>
        <w:rPr>
          <w:rFonts w:ascii="Arial" w:hAnsi="Arial" w:eastAsia="ＭＳ 明朝" w:cs="Arial"/>
          <w:lang w:eastAsia="ja-JP"/>
        </w:rPr>
      </w:pPr>
    </w:p>
    <w:p w14:paraId="68A1E47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7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80">
      <w:pPr>
        <w:rPr>
          <w:rFonts w:ascii="Arial" w:hAnsi="Arial" w:eastAsia="ＭＳ 明朝" w:cs="Arial"/>
          <w:lang w:eastAsia="ja-JP"/>
        </w:rPr>
      </w:pPr>
    </w:p>
    <w:p w14:paraId="68A1E48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8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8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8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8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8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8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8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8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8E">
      <w:pPr>
        <w:rPr>
          <w:rFonts w:ascii="Arial" w:hAnsi="Arial" w:eastAsia="ＭＳ 明朝" w:cs="Arial"/>
          <w:lang w:eastAsia="ja-JP"/>
        </w:rPr>
      </w:pPr>
    </w:p>
    <w:p w14:paraId="68A1E4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9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4B5">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68A1E4B6">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8EB93AC">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4C9">
      <w:pPr>
        <w:rPr>
          <w:rFonts w:ascii="Arial" w:hAnsi="Arial" w:eastAsia="ＭＳ 明朝" w:cs="Arial"/>
          <w:lang w:eastAsia="ja-JP"/>
        </w:rPr>
      </w:pPr>
    </w:p>
    <w:p w14:paraId="68A1E4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4CB">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4CC">
      <w:pPr>
        <w:rPr>
          <w:rFonts w:ascii="Arial" w:hAnsi="Arial" w:eastAsia="ＭＳ 明朝" w:cs="Arial"/>
          <w:lang w:eastAsia="ja-JP"/>
        </w:rPr>
      </w:pPr>
    </w:p>
    <w:p w14:paraId="68A1E4CD">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4CE">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4CF">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4D0">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4D1">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4D2">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4D3">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4D4">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4D9">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4DA">
      <w:pPr>
        <w:rPr>
          <w:rFonts w:ascii="Arial" w:hAnsi="Arial" w:eastAsia="ＭＳ 明朝" w:cs="Arial"/>
          <w:lang w:eastAsia="ja-JP"/>
        </w:rPr>
      </w:pPr>
    </w:p>
    <w:p w14:paraId="68A1E4DB">
      <w:pPr>
        <w:keepNext/>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4DC">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 xml:space="preserve">TBD </w:t>
      </w:r>
    </w:p>
    <w:p w14:paraId="68A1E4FF">
      <w:pPr>
        <w:rPr>
          <w:rFonts w:ascii="Arial" w:hAnsi="Arial" w:eastAsia="ＭＳ 明朝" w:cs="Arial"/>
          <w:lang w:eastAsia="ja-JP"/>
        </w:rPr>
      </w:pPr>
    </w:p>
    <w:p w14:paraId="68A1E500">
      <w:pPr>
        <w:rPr>
          <w:rFonts w:ascii="Arial" w:hAnsi="Arial" w:eastAsia="ＭＳ 明朝" w:cs="Arial"/>
          <w:lang w:eastAsia="ja-JP"/>
        </w:rPr>
      </w:pPr>
    </w:p>
    <w:p w14:paraId="68A1E501">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68A1E50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05557E9">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hint="eastAsia" w:ascii="Arial" w:hAnsi="Arial" w:eastAsia="ＭＳ 明朝" w:cs="Arial"/>
          <w:sz w:val="22"/>
          <w:szCs w:val="22"/>
          <w:lang w:eastAsia="ja-JP"/>
        </w:rPr>
        <w:t>1</w:t>
      </w:r>
      <w:r>
        <w:rPr>
          <w:rFonts w:ascii="Arial" w:hAnsi="Arial" w:cs="Arial"/>
          <w:sz w:val="22"/>
          <w:szCs w:val="22"/>
          <w:lang w:eastAsia="en-US"/>
        </w:rPr>
        <w:t>#1</w:t>
      </w:r>
      <w:r>
        <w:rPr>
          <w:rFonts w:hint="eastAsia" w:ascii="Arial" w:hAnsi="Arial" w:eastAsia="ＭＳ 明朝" w:cs="Arial"/>
          <w:sz w:val="22"/>
          <w:szCs w:val="22"/>
          <w:lang w:eastAsia="ja-JP"/>
        </w:rPr>
        <w:t>24</w:t>
      </w:r>
    </w:p>
    <w:p w14:paraId="68A1E515">
      <w:pPr>
        <w:rPr>
          <w:rFonts w:ascii="Arial" w:hAnsi="Arial" w:eastAsia="ＭＳ 明朝" w:cs="Arial"/>
          <w:lang w:eastAsia="ja-JP"/>
        </w:rPr>
      </w:pPr>
    </w:p>
    <w:p w14:paraId="68A1E516">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17">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18">
      <w:pPr>
        <w:rPr>
          <w:rFonts w:ascii="Arial" w:hAnsi="Arial" w:eastAsia="ＭＳ 明朝" w:cs="Arial"/>
          <w:lang w:eastAsia="ja-JP"/>
        </w:rPr>
      </w:pPr>
    </w:p>
    <w:p w14:paraId="68A1E51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1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1B">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1C">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1D">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1E">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1F">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20">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25">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26">
      <w:pPr>
        <w:rPr>
          <w:rFonts w:ascii="Arial" w:hAnsi="Arial" w:eastAsia="ＭＳ 明朝" w:cs="Arial"/>
          <w:lang w:eastAsia="ja-JP"/>
        </w:rPr>
      </w:pPr>
    </w:p>
    <w:p w14:paraId="68A1E5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28">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4B">
      <w:pPr>
        <w:rPr>
          <w:rFonts w:ascii="Arial" w:hAnsi="Arial" w:eastAsia="ＭＳ 明朝" w:cs="Arial"/>
          <w:lang w:eastAsia="ja-JP"/>
        </w:rPr>
      </w:pPr>
    </w:p>
    <w:p w14:paraId="68A1E54C">
      <w:pPr>
        <w:rPr>
          <w:rFonts w:ascii="Arial" w:hAnsi="Arial" w:eastAsia="ＭＳ 明朝" w:cs="Arial"/>
          <w:lang w:eastAsia="ja-JP"/>
        </w:rPr>
      </w:pPr>
    </w:p>
    <w:p w14:paraId="68A1E54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68A1E54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4F">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50">
      <w:pPr>
        <w:rPr>
          <w:rFonts w:ascii="Arial" w:hAnsi="Arial" w:eastAsia="ＭＳ 明朝" w:cs="Arial"/>
          <w:lang w:eastAsia="ja-JP"/>
        </w:rPr>
      </w:pPr>
    </w:p>
    <w:p w14:paraId="68A1E55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52">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53">
      <w:pPr>
        <w:pStyle w:val="59"/>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8A1E554">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55">
      <w:pPr>
        <w:pStyle w:val="59"/>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8A1E556">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57">
      <w:pPr>
        <w:pStyle w:val="59"/>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8A1E558">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5D">
      <w:pPr>
        <w:pStyle w:val="59"/>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8A1E55E">
      <w:pPr>
        <w:rPr>
          <w:rFonts w:ascii="Arial" w:hAnsi="Arial" w:eastAsia="ＭＳ 明朝" w:cs="Arial"/>
          <w:lang w:eastAsia="ja-JP"/>
        </w:rPr>
      </w:pPr>
    </w:p>
    <w:p w14:paraId="68A1E55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60">
      <w:pPr>
        <w:pStyle w:val="59"/>
        <w:keepNext/>
        <w:numPr>
          <w:ilvl w:val="0"/>
          <w:numId w:val="6"/>
        </w:numPr>
        <w:jc w:val="left"/>
        <w:rPr>
          <w:rFonts w:ascii="Arial" w:hAnsi="Arial" w:cs="Arial"/>
          <w:sz w:val="22"/>
          <w:szCs w:val="22"/>
          <w:lang w:eastAsia="en-US"/>
        </w:rPr>
      </w:pPr>
      <w:r>
        <w:rPr>
          <w:rFonts w:ascii="Arial" w:hAnsi="Arial" w:cs="Arial"/>
          <w:sz w:val="22"/>
          <w:szCs w:val="22"/>
          <w:lang w:eastAsia="en-US"/>
        </w:rPr>
        <w:t>TBD</w:t>
      </w:r>
    </w:p>
    <w:p w14:paraId="68A1E583">
      <w:pPr>
        <w:rPr>
          <w:rFonts w:ascii="Arial" w:hAnsi="Arial" w:eastAsia="ＭＳ 明朝" w:cs="Arial"/>
          <w:lang w:eastAsia="ja-JP"/>
        </w:rPr>
      </w:pPr>
    </w:p>
    <w:p w14:paraId="68A1E584">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68A1E58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8A1E586">
      <w:pPr>
        <w:pStyle w:val="59"/>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A1E587">
      <w:pPr>
        <w:rPr>
          <w:rFonts w:ascii="Arial" w:hAnsi="Arial" w:eastAsia="ＭＳ 明朝" w:cs="Arial"/>
          <w:lang w:eastAsia="ja-JP"/>
        </w:rPr>
      </w:pPr>
    </w:p>
    <w:p w14:paraId="68A1E58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8A1E589">
      <w:pPr>
        <w:rPr>
          <w:rFonts w:ascii="Arial" w:hAnsi="Arial" w:cs="Arial"/>
        </w:rPr>
      </w:pPr>
      <w:r>
        <w:rPr>
          <w:rFonts w:ascii="Arial" w:hAnsi="Arial" w:cs="Arial"/>
        </w:rPr>
        <w:t xml:space="preserve">Summarize the outcome of: </w:t>
      </w:r>
    </w:p>
    <w:p w14:paraId="68A1E58A">
      <w:pPr>
        <w:pStyle w:val="59"/>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68A1E58B">
      <w:pPr>
        <w:pStyle w:val="59"/>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68A1E58C">
      <w:pPr>
        <w:pStyle w:val="59"/>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68A1E58D">
      <w:pPr>
        <w:pStyle w:val="59"/>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68A1E58E">
      <w:pPr>
        <w:pStyle w:val="59"/>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68A1E58F">
      <w:pPr>
        <w:pStyle w:val="59"/>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68A1E590">
      <w:pPr>
        <w:rPr>
          <w:rFonts w:ascii="Arial" w:hAnsi="Arial" w:eastAsia="ＭＳ 明朝" w:cs="Arial"/>
          <w:lang w:eastAsia="ja-JP"/>
        </w:rPr>
      </w:pPr>
    </w:p>
    <w:p w14:paraId="68A1E59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8A1E592">
      <w:pPr>
        <w:jc w:val="left"/>
        <w:rPr>
          <w:rFonts w:ascii="Arial" w:hAnsi="Arial" w:cs="Arial"/>
        </w:rPr>
      </w:pPr>
      <w:r>
        <w:rPr>
          <w:rFonts w:ascii="Arial" w:hAnsi="Arial" w:cs="Arial"/>
        </w:rPr>
        <w:t>TBD</w:t>
      </w:r>
    </w:p>
    <w:p w14:paraId="68A1E59E">
      <w:pPr>
        <w:rPr>
          <w:rFonts w:ascii="Arial" w:hAnsi="Arial" w:eastAsia="ＭＳ 明朝" w:cs="Arial"/>
          <w:lang w:eastAsia="ja-JP"/>
        </w:rPr>
      </w:pPr>
    </w:p>
    <w:p w14:paraId="68A1E59F">
      <w:pPr>
        <w:rPr>
          <w:rFonts w:ascii="Arial" w:hAnsi="Arial" w:eastAsia="ＭＳ 明朝" w:cs="Arial"/>
          <w:lang w:eastAsia="ja-JP"/>
        </w:rPr>
      </w:pPr>
    </w:p>
    <w:p w14:paraId="68A1E5A0">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68A1E5A1">
      <w:pPr>
        <w:rPr>
          <w:rFonts w:ascii="Arial" w:hAnsi="Arial" w:eastAsia="ＭＳ 明朝" w:cs="Arial"/>
          <w:lang w:eastAsia="ja-JP"/>
        </w:rPr>
      </w:pPr>
    </w:p>
    <w:p w14:paraId="68A1E5A2">
      <w:pPr>
        <w:pStyle w:val="2"/>
        <w:numPr>
          <w:ilvl w:val="0"/>
          <w:numId w:val="0"/>
        </w:numPr>
        <w:spacing w:before="240"/>
        <w:rPr>
          <w:rFonts w:ascii="Arial" w:hAnsi="Arial" w:cs="Arial"/>
          <w:kern w:val="2"/>
          <w:lang w:eastAsia="zh-CN"/>
        </w:rPr>
      </w:pPr>
      <w:bookmarkStart w:id="3" w:name="_Ref124671424"/>
      <w:bookmarkStart w:id="4" w:name="_Ref124589665"/>
      <w:bookmarkStart w:id="5" w:name="_Ref129681832"/>
      <w:bookmarkStart w:id="6" w:name="_Ref71620620"/>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bookmarkEnd w:id="7"/>
    <w:bookmarkEnd w:id="8"/>
    <w:p w14:paraId="68A1E5A3">
      <w:pPr>
        <w:pStyle w:val="95"/>
        <w:rPr>
          <w:rFonts w:ascii="Arial" w:hAnsi="Arial" w:cs="Arial"/>
        </w:rPr>
      </w:pPr>
      <w:bookmarkStart w:id="9" w:name="_Ref387394383"/>
      <w:bookmarkStart w:id="10" w:name="_Ref457225889"/>
      <w:r>
        <w:rPr>
          <w:rFonts w:ascii="Arial" w:hAnsi="Arial" w:cs="Arial"/>
        </w:rPr>
        <w:t>RP-253876,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w:t>
      </w:r>
      <w:r>
        <w:rPr>
          <w:rFonts w:hint="eastAsia" w:ascii="Arial" w:hAnsi="Arial" w:cs="Arial"/>
          <w:lang w:eastAsia="ja-JP"/>
        </w:rPr>
        <w:t>10</w:t>
      </w:r>
      <w:r>
        <w:rPr>
          <w:rFonts w:ascii="Arial" w:hAnsi="Arial" w:cs="Arial"/>
        </w:rPr>
        <w:t xml:space="preserve">, </w:t>
      </w:r>
      <w:r>
        <w:rPr>
          <w:rFonts w:hint="eastAsia" w:ascii="Arial" w:hAnsi="Arial" w:cs="Arial"/>
          <w:lang w:eastAsia="ja-JP"/>
        </w:rPr>
        <w:t>Dec.</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68A1E5A5">
      <w:pPr>
        <w:pStyle w:val="95"/>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ＭＳ 明朝">
    <w:altName w:val="Yu Gothic UI"/>
    <w:panose1 w:val="02020609040205080304"/>
    <w:charset w:val="80"/>
    <w:family w:val="roman"/>
    <w:pitch w:val="default"/>
    <w:sig w:usb0="00000000" w:usb1="00000000" w:usb2="08000012" w:usb3="00000000" w:csb0="0002009F" w:csb1="00000000"/>
  </w:font>
  <w:font w:name="MS Mincho">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1CC2E"/>
    <w:multiLevelType w:val="multilevel"/>
    <w:tmpl w:val="9EE1CC2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2">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9"/>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7"/>
      <w:lvlText w:val="%1.%2.%3.%4"/>
      <w:lvlJc w:val="left"/>
      <w:pPr>
        <w:tabs>
          <w:tab w:val="left" w:pos="864"/>
        </w:tabs>
        <w:ind w:left="864" w:hanging="864"/>
      </w:pPr>
      <w:rPr>
        <w:rFonts w:hint="default"/>
      </w:rPr>
    </w:lvl>
    <w:lvl w:ilvl="4" w:tentative="0">
      <w:start w:val="1"/>
      <w:numFmt w:val="decimal"/>
      <w:pStyle w:val="8"/>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5">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8">
    <w:nsid w:val="52CA544A"/>
    <w:multiLevelType w:val="singleLevel"/>
    <w:tmpl w:val="52CA544A"/>
    <w:lvl w:ilvl="0" w:tentative="0">
      <w:start w:val="1"/>
      <w:numFmt w:val="decimal"/>
      <w:pStyle w:val="9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5506B3CC"/>
    <w:multiLevelType w:val="multilevel"/>
    <w:tmpl w:val="5506B3C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0">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0"/>
  </w:num>
  <w:num w:numId="4">
    <w:abstractNumId w:val="2"/>
  </w:num>
  <w:num w:numId="5">
    <w:abstractNumId w:val="8"/>
  </w:num>
  <w:num w:numId="6">
    <w:abstractNumId w:val="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90E"/>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AE9"/>
    <w:rsid w:val="00177FC1"/>
    <w:rsid w:val="00180471"/>
    <w:rsid w:val="00180634"/>
    <w:rsid w:val="001808CF"/>
    <w:rsid w:val="001814F5"/>
    <w:rsid w:val="001815A2"/>
    <w:rsid w:val="001817E2"/>
    <w:rsid w:val="00181CDD"/>
    <w:rsid w:val="00181FC1"/>
    <w:rsid w:val="00182121"/>
    <w:rsid w:val="00182391"/>
    <w:rsid w:val="001824CC"/>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5F83"/>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1D8"/>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8DA"/>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72D"/>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86C"/>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87D"/>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A06"/>
    <w:rsid w:val="00405DD4"/>
    <w:rsid w:val="00405EDB"/>
    <w:rsid w:val="00405FB1"/>
    <w:rsid w:val="0040618D"/>
    <w:rsid w:val="00406460"/>
    <w:rsid w:val="00406487"/>
    <w:rsid w:val="00406D9D"/>
    <w:rsid w:val="0040752B"/>
    <w:rsid w:val="00410668"/>
    <w:rsid w:val="004108FA"/>
    <w:rsid w:val="00410B99"/>
    <w:rsid w:val="00410EDF"/>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8DF"/>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09"/>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7345"/>
    <w:rsid w:val="00587FC0"/>
    <w:rsid w:val="005906AD"/>
    <w:rsid w:val="00590CC0"/>
    <w:rsid w:val="00590DA6"/>
    <w:rsid w:val="00590DC7"/>
    <w:rsid w:val="00590FDD"/>
    <w:rsid w:val="0059140A"/>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2AA"/>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4BE"/>
    <w:rsid w:val="00783E1D"/>
    <w:rsid w:val="0078483B"/>
    <w:rsid w:val="00784EED"/>
    <w:rsid w:val="007851BB"/>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C92"/>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03"/>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148"/>
    <w:rsid w:val="007F681D"/>
    <w:rsid w:val="007F6880"/>
    <w:rsid w:val="007F69F1"/>
    <w:rsid w:val="007F70DF"/>
    <w:rsid w:val="007F7237"/>
    <w:rsid w:val="007F76B4"/>
    <w:rsid w:val="007F76E4"/>
    <w:rsid w:val="008000BD"/>
    <w:rsid w:val="008001B4"/>
    <w:rsid w:val="00800769"/>
    <w:rsid w:val="00800ED2"/>
    <w:rsid w:val="00801456"/>
    <w:rsid w:val="008015A8"/>
    <w:rsid w:val="00801CAD"/>
    <w:rsid w:val="0080237E"/>
    <w:rsid w:val="008027C8"/>
    <w:rsid w:val="00802E74"/>
    <w:rsid w:val="0080301B"/>
    <w:rsid w:val="008031C2"/>
    <w:rsid w:val="00803AE2"/>
    <w:rsid w:val="00803B89"/>
    <w:rsid w:val="00803F24"/>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C0C"/>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07B"/>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51A4"/>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90"/>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3F0"/>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7F"/>
    <w:rsid w:val="00AA3DB7"/>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3F8"/>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A83"/>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BF8"/>
    <w:rsid w:val="00D92C29"/>
    <w:rsid w:val="00D92C45"/>
    <w:rsid w:val="00D930AC"/>
    <w:rsid w:val="00D93561"/>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A0A7F"/>
    <w:rsid w:val="00DA1BF0"/>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52"/>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3610"/>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4D17"/>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3F2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6FC1"/>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2E89"/>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4DF3"/>
    <w:rsid w:val="00F6566A"/>
    <w:rsid w:val="00F6583C"/>
    <w:rsid w:val="00F6589A"/>
    <w:rsid w:val="00F6603D"/>
    <w:rsid w:val="00F66333"/>
    <w:rsid w:val="00F6642C"/>
    <w:rsid w:val="00F664D1"/>
    <w:rsid w:val="00F66660"/>
    <w:rsid w:val="00F66CF8"/>
    <w:rsid w:val="00F66E4E"/>
    <w:rsid w:val="00F66FDF"/>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12D6652C"/>
    <w:rsid w:val="14CF3076"/>
    <w:rsid w:val="415647A5"/>
    <w:rsid w:val="681B4642"/>
    <w:rsid w:val="6C267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3"/>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7">
    <w:name w:val="heading 4"/>
    <w:basedOn w:val="4"/>
    <w:next w:val="5"/>
    <w:qFormat/>
    <w:uiPriority w:val="0"/>
    <w:pPr>
      <w:numPr>
        <w:ilvl w:val="3"/>
      </w:numPr>
      <w:tabs>
        <w:tab w:val="clear" w:pos="720"/>
      </w:tabs>
      <w:outlineLvl w:val="3"/>
    </w:pPr>
    <w:rPr>
      <w:bCs/>
      <w:szCs w:val="28"/>
    </w:rPr>
  </w:style>
  <w:style w:type="paragraph" w:styleId="8">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9">
    <w:name w:val="heading 6"/>
    <w:basedOn w:val="1"/>
    <w:next w:val="1"/>
    <w:qFormat/>
    <w:uiPriority w:val="0"/>
    <w:pPr>
      <w:numPr>
        <w:ilvl w:val="5"/>
        <w:numId w:val="1"/>
      </w:numPr>
      <w:tabs>
        <w:tab w:val="left" w:pos="432"/>
      </w:tabs>
      <w:spacing w:before="240" w:after="60"/>
      <w:outlineLvl w:val="5"/>
    </w:pPr>
    <w:rPr>
      <w:b/>
      <w:bCs/>
    </w:rPr>
  </w:style>
  <w:style w:type="paragraph" w:styleId="10">
    <w:name w:val="heading 7"/>
    <w:basedOn w:val="1"/>
    <w:next w:val="1"/>
    <w:qFormat/>
    <w:uiPriority w:val="0"/>
    <w:pPr>
      <w:numPr>
        <w:ilvl w:val="6"/>
        <w:numId w:val="1"/>
      </w:numPr>
      <w:tabs>
        <w:tab w:val="left" w:pos="432"/>
      </w:tabs>
      <w:spacing w:before="240" w:after="60"/>
      <w:outlineLvl w:val="6"/>
    </w:pPr>
    <w:rPr>
      <w:sz w:val="24"/>
      <w:szCs w:val="24"/>
    </w:rPr>
  </w:style>
  <w:style w:type="paragraph" w:styleId="11">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2">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75"/>
    <w:qFormat/>
    <w:uiPriority w:val="0"/>
    <w:pPr>
      <w:autoSpaceDE/>
      <w:autoSpaceDN/>
      <w:adjustRightInd/>
      <w:snapToGrid/>
      <w:spacing w:after="0"/>
      <w:ind w:left="1622" w:hanging="363"/>
      <w:jc w:val="left"/>
    </w:pPr>
    <w:rPr>
      <w:rFonts w:ascii="Arial" w:hAnsi="Arial" w:cs="Arial"/>
      <w:sz w:val="20"/>
      <w:szCs w:val="20"/>
      <w:lang w:eastAsia="zh-CN"/>
    </w:rPr>
  </w:style>
  <w:style w:type="paragraph" w:styleId="13">
    <w:name w:val="List 3"/>
    <w:basedOn w:val="1"/>
    <w:qFormat/>
    <w:uiPriority w:val="0"/>
    <w:pPr>
      <w:ind w:left="100" w:leftChars="400" w:hanging="200" w:hangingChars="200"/>
      <w:contextualSpacing/>
    </w:pPr>
  </w:style>
  <w:style w:type="paragraph" w:styleId="14">
    <w:name w:val="caption"/>
    <w:basedOn w:val="1"/>
    <w:next w:val="1"/>
    <w:link w:val="45"/>
    <w:qFormat/>
    <w:uiPriority w:val="0"/>
    <w:pPr>
      <w:jc w:val="center"/>
    </w:pPr>
    <w:rPr>
      <w:b/>
      <w:bCs/>
      <w:sz w:val="20"/>
      <w:szCs w:val="20"/>
    </w:rPr>
  </w:style>
  <w:style w:type="paragraph" w:styleId="15">
    <w:name w:val="List Bullet"/>
    <w:basedOn w:val="16"/>
    <w:qFormat/>
    <w:uiPriority w:val="0"/>
    <w:pPr>
      <w:autoSpaceDE/>
      <w:autoSpaceDN/>
      <w:adjustRightInd/>
      <w:spacing w:after="180"/>
      <w:ind w:left="568" w:hanging="284"/>
      <w:jc w:val="left"/>
    </w:pPr>
    <w:rPr>
      <w:sz w:val="20"/>
      <w:szCs w:val="20"/>
      <w:lang w:val="en-GB"/>
    </w:rPr>
  </w:style>
  <w:style w:type="paragraph" w:styleId="16">
    <w:name w:val="List"/>
    <w:basedOn w:val="1"/>
    <w:qFormat/>
    <w:uiPriority w:val="0"/>
    <w:pPr>
      <w:ind w:left="360" w:hanging="360"/>
    </w:pPr>
  </w:style>
  <w:style w:type="paragraph" w:styleId="17">
    <w:name w:val="Document Map"/>
    <w:basedOn w:val="1"/>
    <w:link w:val="54"/>
    <w:qFormat/>
    <w:uiPriority w:val="0"/>
    <w:rPr>
      <w:rFonts w:ascii="宋体"/>
      <w:sz w:val="18"/>
      <w:szCs w:val="18"/>
    </w:rPr>
  </w:style>
  <w:style w:type="paragraph" w:styleId="18">
    <w:name w:val="annotation text"/>
    <w:basedOn w:val="1"/>
    <w:link w:val="55"/>
    <w:qFormat/>
    <w:uiPriority w:val="0"/>
    <w:pPr>
      <w:jc w:val="left"/>
    </w:pPr>
  </w:style>
  <w:style w:type="paragraph" w:styleId="19">
    <w:name w:val="Body Text"/>
    <w:basedOn w:val="1"/>
    <w:link w:val="91"/>
    <w:qFormat/>
    <w:uiPriority w:val="0"/>
    <w:rPr>
      <w:sz w:val="20"/>
      <w:szCs w:val="20"/>
    </w:rPr>
  </w:style>
  <w:style w:type="paragraph" w:styleId="20">
    <w:name w:val="List 2"/>
    <w:basedOn w:val="1"/>
    <w:qFormat/>
    <w:uiPriority w:val="0"/>
    <w:pPr>
      <w:ind w:left="100" w:leftChars="200" w:hanging="200" w:hangingChars="200"/>
      <w:contextualSpacing/>
    </w:pPr>
  </w:style>
  <w:style w:type="paragraph" w:styleId="21">
    <w:name w:val="Balloon Text"/>
    <w:basedOn w:val="1"/>
    <w:semiHidden/>
    <w:qFormat/>
    <w:uiPriority w:val="0"/>
    <w:rPr>
      <w:rFonts w:ascii="Tahoma" w:hAnsi="Tahoma" w:cs="Tahoma"/>
      <w:sz w:val="16"/>
      <w:szCs w:val="16"/>
    </w:rPr>
  </w:style>
  <w:style w:type="paragraph" w:styleId="22">
    <w:name w:val="footer"/>
    <w:basedOn w:val="1"/>
    <w:link w:val="47"/>
    <w:qFormat/>
    <w:uiPriority w:val="0"/>
    <w:pPr>
      <w:tabs>
        <w:tab w:val="center" w:pos="4680"/>
        <w:tab w:val="right" w:pos="9360"/>
      </w:tabs>
    </w:pPr>
  </w:style>
  <w:style w:type="paragraph" w:styleId="23">
    <w:name w:val="header"/>
    <w:basedOn w:val="1"/>
    <w:link w:val="46"/>
    <w:qFormat/>
    <w:uiPriority w:val="0"/>
    <w:pPr>
      <w:tabs>
        <w:tab w:val="center" w:pos="4680"/>
        <w:tab w:val="right" w:pos="9360"/>
      </w:tabs>
    </w:pPr>
  </w:style>
  <w:style w:type="paragraph" w:styleId="24">
    <w:name w:val="footnote text"/>
    <w:basedOn w:val="1"/>
    <w:link w:val="88"/>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semiHidden/>
    <w:unhideWhenUsed/>
    <w:qFormat/>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7">
    <w:name w:val="Title"/>
    <w:basedOn w:val="1"/>
    <w:link w:val="86"/>
    <w:qFormat/>
    <w:uiPriority w:val="99"/>
    <w:pPr>
      <w:autoSpaceDE/>
      <w:autoSpaceDN/>
      <w:adjustRightInd/>
      <w:snapToGrid/>
      <w:spacing w:before="240" w:after="60"/>
      <w:ind w:right="46"/>
      <w:jc w:val="center"/>
      <w:outlineLvl w:val="0"/>
    </w:pPr>
    <w:rPr>
      <w:b/>
      <w:kern w:val="28"/>
      <w:sz w:val="32"/>
      <w:szCs w:val="24"/>
    </w:rPr>
  </w:style>
  <w:style w:type="paragraph" w:styleId="28">
    <w:name w:val="annotation subject"/>
    <w:basedOn w:val="18"/>
    <w:next w:val="18"/>
    <w:link w:val="56"/>
    <w:qFormat/>
    <w:uiPriority w:val="0"/>
    <w:rPr>
      <w:b/>
      <w:bCs/>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Theme"/>
    <w:basedOn w:val="29"/>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800080"/>
      <w:u w:val="single"/>
    </w:rPr>
  </w:style>
  <w:style w:type="character" w:styleId="34">
    <w:name w:val="Hyperlink"/>
    <w:basedOn w:val="32"/>
    <w:qFormat/>
    <w:uiPriority w:val="0"/>
    <w:rPr>
      <w:color w:val="0000FF"/>
      <w:u w:val="single"/>
    </w:rPr>
  </w:style>
  <w:style w:type="character" w:styleId="35">
    <w:name w:val="annotation reference"/>
    <w:basedOn w:val="32"/>
    <w:qFormat/>
    <w:uiPriority w:val="0"/>
    <w:rPr>
      <w:sz w:val="21"/>
      <w:szCs w:val="21"/>
    </w:rPr>
  </w:style>
  <w:style w:type="character" w:styleId="36">
    <w:name w:val="footnote reference"/>
    <w:basedOn w:val="32"/>
    <w:semiHidden/>
    <w:qFormat/>
    <w:uiPriority w:val="0"/>
    <w:rPr>
      <w:vertAlign w:val="superscript"/>
    </w:rPr>
  </w:style>
  <w:style w:type="paragraph" w:customStyle="1" w:styleId="3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8">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9">
    <w:name w:val="References"/>
    <w:basedOn w:val="1"/>
    <w:qFormat/>
    <w:uiPriority w:val="0"/>
    <w:pPr>
      <w:numPr>
        <w:ilvl w:val="0"/>
        <w:numId w:val="2"/>
      </w:numPr>
      <w:adjustRightInd/>
      <w:spacing w:after="60"/>
    </w:pPr>
    <w:rPr>
      <w:sz w:val="20"/>
      <w:szCs w:val="16"/>
    </w:rPr>
  </w:style>
  <w:style w:type="paragraph" w:customStyle="1" w:styleId="40">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2">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5">
    <w:name w:val="図表番号 (文字)"/>
    <w:basedOn w:val="32"/>
    <w:link w:val="14"/>
    <w:qFormat/>
    <w:uiPriority w:val="0"/>
    <w:rPr>
      <w:b/>
      <w:bCs/>
      <w:lang w:eastAsia="en-US"/>
    </w:rPr>
  </w:style>
  <w:style w:type="character" w:customStyle="1" w:styleId="46">
    <w:name w:val="ヘッダー (文字)"/>
    <w:basedOn w:val="32"/>
    <w:link w:val="23"/>
    <w:qFormat/>
    <w:uiPriority w:val="0"/>
    <w:rPr>
      <w:sz w:val="22"/>
      <w:szCs w:val="22"/>
      <w:lang w:eastAsia="en-US"/>
    </w:rPr>
  </w:style>
  <w:style w:type="character" w:customStyle="1" w:styleId="47">
    <w:name w:val="フッター (文字)"/>
    <w:basedOn w:val="32"/>
    <w:link w:val="22"/>
    <w:qFormat/>
    <w:uiPriority w:val="0"/>
    <w:rPr>
      <w:sz w:val="22"/>
      <w:szCs w:val="22"/>
      <w:lang w:eastAsia="en-US"/>
    </w:rPr>
  </w:style>
  <w:style w:type="paragraph" w:customStyle="1" w:styleId="48">
    <w:name w:val="TH"/>
    <w:basedOn w:val="1"/>
    <w:link w:val="67"/>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9">
    <w:name w:val="TF"/>
    <w:basedOn w:val="48"/>
    <w:link w:val="50"/>
    <w:qFormat/>
    <w:uiPriority w:val="0"/>
    <w:pPr>
      <w:keepNext w:val="0"/>
      <w:spacing w:before="0" w:after="240"/>
    </w:pPr>
  </w:style>
  <w:style w:type="character" w:customStyle="1" w:styleId="50">
    <w:name w:val="TF Char"/>
    <w:basedOn w:val="32"/>
    <w:link w:val="49"/>
    <w:qFormat/>
    <w:uiPriority w:val="0"/>
    <w:rPr>
      <w:rFonts w:ascii="Arial" w:hAnsi="Arial" w:eastAsia="ＭＳ 明朝"/>
      <w:b/>
      <w:lang w:eastAsia="en-US"/>
    </w:rPr>
  </w:style>
  <w:style w:type="paragraph" w:customStyle="1" w:styleId="51">
    <w:name w:val="TAR"/>
    <w:basedOn w:val="1"/>
    <w:qFormat/>
    <w:uiPriority w:val="0"/>
    <w:pPr>
      <w:keepNext/>
      <w:keepLines/>
      <w:autoSpaceDE/>
      <w:autoSpaceDN/>
      <w:adjustRightInd/>
      <w:spacing w:after="0"/>
      <w:jc w:val="right"/>
    </w:pPr>
    <w:rPr>
      <w:rFonts w:ascii="Arial" w:hAnsi="Arial"/>
      <w:sz w:val="18"/>
      <w:szCs w:val="20"/>
    </w:rPr>
  </w:style>
  <w:style w:type="paragraph" w:customStyle="1" w:styleId="52">
    <w:name w:val="TAH"/>
    <w:basedOn w:val="53"/>
    <w:link w:val="63"/>
    <w:qFormat/>
    <w:uiPriority w:val="0"/>
    <w:rPr>
      <w:b/>
    </w:rPr>
  </w:style>
  <w:style w:type="paragraph" w:customStyle="1" w:styleId="53">
    <w:name w:val="TAC"/>
    <w:basedOn w:val="1"/>
    <w:link w:val="77"/>
    <w:qFormat/>
    <w:uiPriority w:val="0"/>
    <w:pPr>
      <w:keepNext/>
      <w:keepLines/>
      <w:autoSpaceDE/>
      <w:autoSpaceDN/>
      <w:adjustRightInd/>
      <w:spacing w:after="0"/>
      <w:jc w:val="center"/>
    </w:pPr>
    <w:rPr>
      <w:rFonts w:ascii="Arial" w:hAnsi="Arial"/>
      <w:sz w:val="18"/>
      <w:szCs w:val="20"/>
    </w:rPr>
  </w:style>
  <w:style w:type="character" w:customStyle="1" w:styleId="54">
    <w:name w:val="見出しマップ (文字)"/>
    <w:basedOn w:val="32"/>
    <w:link w:val="17"/>
    <w:qFormat/>
    <w:uiPriority w:val="0"/>
    <w:rPr>
      <w:rFonts w:ascii="宋体"/>
      <w:sz w:val="18"/>
      <w:szCs w:val="18"/>
      <w:lang w:eastAsia="en-US"/>
    </w:rPr>
  </w:style>
  <w:style w:type="character" w:customStyle="1" w:styleId="55">
    <w:name w:val="コメント文字列 (文字)"/>
    <w:basedOn w:val="32"/>
    <w:link w:val="18"/>
    <w:qFormat/>
    <w:uiPriority w:val="0"/>
    <w:rPr>
      <w:sz w:val="22"/>
      <w:szCs w:val="22"/>
      <w:lang w:eastAsia="en-US"/>
    </w:rPr>
  </w:style>
  <w:style w:type="character" w:customStyle="1" w:styleId="56">
    <w:name w:val="コメント内容 (文字)"/>
    <w:basedOn w:val="55"/>
    <w:link w:val="28"/>
    <w:qFormat/>
    <w:uiPriority w:val="0"/>
    <w:rPr>
      <w:b/>
      <w:bCs/>
      <w:sz w:val="22"/>
      <w:szCs w:val="22"/>
      <w:lang w:eastAsia="en-US"/>
    </w:rPr>
  </w:style>
  <w:style w:type="character" w:customStyle="1" w:styleId="57">
    <w:name w:val="ZGSM"/>
    <w:qFormat/>
    <w:uiPriority w:val="0"/>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9">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60">
    <w:name w:val="B3"/>
    <w:basedOn w:val="13"/>
    <w:link w:val="61"/>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61">
    <w:name w:val="B3 Char"/>
    <w:basedOn w:val="32"/>
    <w:link w:val="60"/>
    <w:qFormat/>
    <w:uiPriority w:val="0"/>
    <w:rPr>
      <w:lang w:eastAsia="ja-JP"/>
    </w:rPr>
  </w:style>
  <w:style w:type="paragraph" w:customStyle="1" w:styleId="62">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3">
    <w:name w:val="TAH Car"/>
    <w:link w:val="52"/>
    <w:qFormat/>
    <w:uiPriority w:val="0"/>
    <w:rPr>
      <w:rFonts w:ascii="Arial" w:hAnsi="Arial"/>
      <w:b/>
      <w:sz w:val="18"/>
      <w:lang w:eastAsia="en-US"/>
    </w:rPr>
  </w:style>
  <w:style w:type="paragraph" w:customStyle="1" w:styleId="64">
    <w:name w:val="TAL"/>
    <w:basedOn w:val="1"/>
    <w:link w:val="66"/>
    <w:qFormat/>
    <w:uiPriority w:val="0"/>
    <w:pPr>
      <w:keepNext/>
      <w:keepLines/>
      <w:autoSpaceDE/>
      <w:autoSpaceDN/>
      <w:adjustRightInd/>
      <w:snapToGrid/>
      <w:spacing w:after="0"/>
      <w:jc w:val="left"/>
    </w:pPr>
    <w:rPr>
      <w:rFonts w:ascii="Arial" w:hAnsi="Arial"/>
      <w:sz w:val="18"/>
      <w:szCs w:val="20"/>
      <w:lang w:val="en-GB"/>
    </w:rPr>
  </w:style>
  <w:style w:type="paragraph" w:customStyle="1" w:styleId="65">
    <w:name w:val="TAN"/>
    <w:basedOn w:val="64"/>
    <w:qFormat/>
    <w:uiPriority w:val="0"/>
    <w:pPr>
      <w:ind w:left="851" w:hanging="851"/>
    </w:pPr>
  </w:style>
  <w:style w:type="character" w:customStyle="1" w:styleId="66">
    <w:name w:val="TAL Car"/>
    <w:link w:val="64"/>
    <w:qFormat/>
    <w:uiPriority w:val="0"/>
    <w:rPr>
      <w:rFonts w:ascii="Arial" w:hAnsi="Arial"/>
      <w:sz w:val="18"/>
      <w:lang w:val="en-GB" w:eastAsia="en-US"/>
    </w:rPr>
  </w:style>
  <w:style w:type="character" w:customStyle="1" w:styleId="67">
    <w:name w:val="TH Char"/>
    <w:link w:val="48"/>
    <w:qFormat/>
    <w:uiPriority w:val="0"/>
    <w:rPr>
      <w:rFonts w:ascii="Arial" w:hAnsi="Arial" w:eastAsia="ＭＳ 明朝"/>
      <w:b/>
      <w:lang w:eastAsia="en-US"/>
    </w:rPr>
  </w:style>
  <w:style w:type="paragraph" w:customStyle="1" w:styleId="68">
    <w:name w:val="B1"/>
    <w:basedOn w:val="16"/>
    <w:link w:val="70"/>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9">
    <w:name w:val="B2"/>
    <w:basedOn w:val="20"/>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70">
    <w:name w:val="B1 Zchn"/>
    <w:basedOn w:val="32"/>
    <w:link w:val="68"/>
    <w:qFormat/>
    <w:uiPriority w:val="0"/>
    <w:rPr>
      <w:rFonts w:eastAsia="ＭＳ 明朝"/>
      <w:lang w:eastAsia="en-US"/>
    </w:rPr>
  </w:style>
  <w:style w:type="paragraph" w:customStyle="1" w:styleId="71">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2">
    <w:name w:val="B1 Char1"/>
    <w:qFormat/>
    <w:uiPriority w:val="0"/>
    <w:rPr>
      <w:rFonts w:eastAsia="Times New Roman"/>
    </w:rPr>
  </w:style>
  <w:style w:type="paragraph" w:customStyle="1" w:styleId="73">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4">
    <w:name w:val="PL Char"/>
    <w:basedOn w:val="32"/>
    <w:link w:val="73"/>
    <w:qFormat/>
    <w:uiPriority w:val="0"/>
    <w:rPr>
      <w:rFonts w:ascii="Courier New" w:hAnsi="Courier New" w:cs="Courier New"/>
      <w:sz w:val="16"/>
      <w:szCs w:val="16"/>
      <w:lang w:val="en-GB" w:eastAsia="ja-JP"/>
    </w:rPr>
  </w:style>
  <w:style w:type="character" w:customStyle="1" w:styleId="75">
    <w:name w:val="Doc-text2 Char"/>
    <w:basedOn w:val="32"/>
    <w:link w:val="6"/>
    <w:qFormat/>
    <w:locked/>
    <w:uiPriority w:val="0"/>
    <w:rPr>
      <w:rFonts w:ascii="Arial" w:hAnsi="Arial" w:cs="Arial"/>
    </w:rPr>
  </w:style>
  <w:style w:type="character" w:customStyle="1" w:styleId="76">
    <w:name w:val="TF Zchn"/>
    <w:qFormat/>
    <w:uiPriority w:val="0"/>
    <w:rPr>
      <w:rFonts w:ascii="Arial" w:hAnsi="Arial"/>
      <w:b/>
      <w:lang w:eastAsia="en-US"/>
    </w:rPr>
  </w:style>
  <w:style w:type="character" w:customStyle="1" w:styleId="77">
    <w:name w:val="TAC Char"/>
    <w:link w:val="53"/>
    <w:qFormat/>
    <w:uiPriority w:val="0"/>
    <w:rPr>
      <w:rFonts w:ascii="Arial" w:hAnsi="Arial"/>
      <w:sz w:val="18"/>
      <w:lang w:eastAsia="en-US"/>
    </w:rPr>
  </w:style>
  <w:style w:type="character" w:customStyle="1" w:styleId="78">
    <w:name w:val="TAH Char"/>
    <w:qFormat/>
    <w:locked/>
    <w:uiPriority w:val="0"/>
    <w:rPr>
      <w:rFonts w:ascii="Arial" w:hAnsi="Arial"/>
      <w:b/>
      <w:sz w:val="18"/>
      <w:lang w:eastAsia="en-US"/>
    </w:rPr>
  </w:style>
  <w:style w:type="paragraph" w:customStyle="1" w:styleId="79">
    <w:name w:val="Reference"/>
    <w:basedOn w:val="1"/>
    <w:qFormat/>
    <w:uiPriority w:val="0"/>
    <w:pPr>
      <w:numPr>
        <w:ilvl w:val="1"/>
        <w:numId w:val="4"/>
      </w:numPr>
      <w:autoSpaceDE/>
      <w:autoSpaceDN/>
      <w:adjustRightInd/>
      <w:snapToGrid/>
      <w:spacing w:after="0"/>
    </w:pPr>
    <w:rPr>
      <w:rFonts w:ascii="Arial" w:hAnsi="Arial"/>
      <w:sz w:val="20"/>
      <w:szCs w:val="20"/>
      <w:lang w:val="sv-SE"/>
    </w:rPr>
  </w:style>
  <w:style w:type="paragraph" w:customStyle="1" w:styleId="80">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1">
    <w:name w:val="Style (Latin) +Body (Calibri) 11 pt"/>
    <w:qFormat/>
    <w:uiPriority w:val="0"/>
    <w:rPr>
      <w:rFonts w:ascii="Calibri" w:hAnsi="Calibri" w:eastAsia="宋体" w:cs="Arial"/>
      <w:color w:val="auto"/>
      <w:kern w:val="0"/>
      <w:sz w:val="22"/>
      <w:lang w:val="en-US" w:eastAsia="zh-CN" w:bidi="ar-SA"/>
    </w:rPr>
  </w:style>
  <w:style w:type="paragraph" w:customStyle="1" w:styleId="82">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4">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5">
    <w:name w:val="TAL Char"/>
    <w:qFormat/>
    <w:uiPriority w:val="0"/>
    <w:rPr>
      <w:rFonts w:ascii="Arial" w:hAnsi="Arial"/>
      <w:sz w:val="18"/>
      <w:lang w:val="en-GB"/>
    </w:rPr>
  </w:style>
  <w:style w:type="character" w:customStyle="1" w:styleId="86">
    <w:name w:val="表題 (文字)"/>
    <w:basedOn w:val="32"/>
    <w:link w:val="27"/>
    <w:qFormat/>
    <w:uiPriority w:val="99"/>
    <w:rPr>
      <w:b/>
      <w:kern w:val="28"/>
      <w:sz w:val="32"/>
      <w:szCs w:val="24"/>
    </w:rPr>
  </w:style>
  <w:style w:type="character" w:customStyle="1" w:styleId="87">
    <w:name w:val="im-content1"/>
    <w:basedOn w:val="32"/>
    <w:qFormat/>
    <w:uiPriority w:val="0"/>
    <w:rPr>
      <w:color w:val="333333"/>
    </w:rPr>
  </w:style>
  <w:style w:type="character" w:customStyle="1" w:styleId="88">
    <w:name w:val="脚注文字列 (文字)"/>
    <w:link w:val="24"/>
    <w:semiHidden/>
    <w:qFormat/>
    <w:uiPriority w:val="0"/>
    <w:rPr>
      <w:lang w:eastAsia="en-US"/>
    </w:rPr>
  </w:style>
  <w:style w:type="paragraph" w:customStyle="1" w:styleId="89">
    <w:name w:val="tablecell"/>
    <w:basedOn w:val="1"/>
    <w:qFormat/>
    <w:uiPriority w:val="99"/>
    <w:pPr>
      <w:spacing w:before="40" w:after="40"/>
      <w:jc w:val="left"/>
    </w:pPr>
    <w:rPr>
      <w:sz w:val="20"/>
    </w:rPr>
  </w:style>
  <w:style w:type="paragraph" w:customStyle="1" w:styleId="90">
    <w:name w:val="tableheader"/>
    <w:basedOn w:val="1"/>
    <w:qFormat/>
    <w:uiPriority w:val="99"/>
    <w:pPr>
      <w:autoSpaceDE/>
      <w:autoSpaceDN/>
      <w:adjustRightInd/>
      <w:spacing w:before="40" w:after="40"/>
      <w:jc w:val="center"/>
    </w:pPr>
    <w:rPr>
      <w:rFonts w:cs="Calibri"/>
      <w:b/>
      <w:bCs/>
      <w:sz w:val="20"/>
    </w:rPr>
  </w:style>
  <w:style w:type="character" w:customStyle="1" w:styleId="91">
    <w:name w:val="本文 (文字)"/>
    <w:link w:val="19"/>
    <w:qFormat/>
    <w:uiPriority w:val="0"/>
    <w:rPr>
      <w:lang w:eastAsia="en-US"/>
    </w:rPr>
  </w:style>
  <w:style w:type="paragraph" w:customStyle="1" w:styleId="92">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3">
    <w:name w:val="見出し 1 (文字)"/>
    <w:basedOn w:val="32"/>
    <w:link w:val="2"/>
    <w:qFormat/>
    <w:uiPriority w:val="0"/>
    <w:rPr>
      <w:b/>
      <w:bCs/>
      <w:sz w:val="28"/>
      <w:szCs w:val="28"/>
      <w:lang w:eastAsia="en-US"/>
    </w:rPr>
  </w:style>
  <w:style w:type="character" w:styleId="94">
    <w:name w:val="Placeholder Text"/>
    <w:basedOn w:val="32"/>
    <w:semiHidden/>
    <w:qFormat/>
    <w:uiPriority w:val="99"/>
    <w:rPr>
      <w:color w:val="808080"/>
    </w:rPr>
  </w:style>
  <w:style w:type="paragraph" w:customStyle="1" w:styleId="95">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6">
    <w:name w:val="変更箇所1"/>
    <w:hidden/>
    <w:unhideWhenUsed/>
    <w:qFormat/>
    <w:uiPriority w:val="99"/>
    <w:rPr>
      <w:rFonts w:ascii="Times New Roman" w:hAnsi="Times New Roman" w:cs="Times New Roman" w:eastAsiaTheme="minorEastAsia"/>
      <w:sz w:val="22"/>
      <w:szCs w:val="22"/>
      <w:lang w:val="en-US" w:eastAsia="en-US" w:bidi="ar-SA"/>
    </w:rPr>
  </w:style>
  <w:style w:type="character" w:customStyle="1" w:styleId="97">
    <w:name w:val="未解決のメンション1"/>
    <w:basedOn w:val="32"/>
    <w:semiHidden/>
    <w:unhideWhenUsed/>
    <w:qFormat/>
    <w:uiPriority w:val="99"/>
    <w:rPr>
      <w:color w:val="605E5C"/>
      <w:shd w:val="clear" w:color="auto" w:fill="E1DFDD"/>
    </w:rPr>
  </w:style>
  <w:style w:type="paragraph" w:customStyle="1" w:styleId="98">
    <w:name w:val="Revision"/>
    <w:hidden/>
    <w:unhideWhenUsed/>
    <w:qFormat/>
    <w:uiPriority w:val="99"/>
    <w:rPr>
      <w:rFonts w:ascii="Times New Roman" w:hAnsi="Times New Roman" w:cs="Times New Roman" w:eastAsiaTheme="minorEastAsia"/>
      <w:sz w:val="22"/>
      <w:szCs w:val="22"/>
      <w:lang w:val="en-US" w:eastAsia="en-US" w:bidi="ar-SA"/>
    </w:rPr>
  </w:style>
  <w:style w:type="paragraph" w:customStyle="1" w:styleId="99">
    <w:name w:val="CR Cover Page"/>
    <w:qFormat/>
    <w:uiPriority w:val="0"/>
    <w:pPr>
      <w:spacing w:after="120"/>
    </w:pPr>
    <w:rPr>
      <w:rFonts w:ascii="Arial" w:hAnsi="Arial" w:cs="Times New Roman" w:eastAsiaTheme="minorEastAsia"/>
      <w:lang w:val="en-GB" w:eastAsia="en-US"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7EC1C-88FB-4EFB-9499-9FF05C6ED4C1}">
  <ds:schemaRefs/>
</ds:datastoreItem>
</file>

<file path=customXml/itemProps3.xml><?xml version="1.0" encoding="utf-8"?>
<ds:datastoreItem xmlns:ds="http://schemas.openxmlformats.org/officeDocument/2006/customXml" ds:itemID="{47DBACA5-388A-4C5B-9415-60B3D7CD68BC}">
  <ds:schemaRefs/>
</ds:datastoreItem>
</file>

<file path=customXml/itemProps4.xml><?xml version="1.0" encoding="utf-8"?>
<ds:datastoreItem xmlns:ds="http://schemas.openxmlformats.org/officeDocument/2006/customXml" ds:itemID="{2CB0BC82-CCA1-4DAE-B866-488B258D74A2}">
  <ds:schemaRefs/>
</ds:datastoreItem>
</file>

<file path=customXml/itemProps5.xml><?xml version="1.0" encoding="utf-8"?>
<ds:datastoreItem xmlns:ds="http://schemas.openxmlformats.org/officeDocument/2006/customXml" ds:itemID="{4DA35F5F-8F23-4D3A-8C63-F6407C8954E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16</Pages>
  <Words>4290</Words>
  <Characters>35795</Characters>
  <Lines>941</Lines>
  <Paragraphs>756</Paragraphs>
  <TotalTime>2</TotalTime>
  <ScaleCrop>false</ScaleCrop>
  <LinksUpToDate>false</LinksUpToDate>
  <CharactersWithSpaces>39329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CMCC-CL</cp:lastModifiedBy>
  <cp:lastPrinted>2015-07-25T10:06:00Z</cp:lastPrinted>
  <dcterms:modified xsi:type="dcterms:W3CDTF">2026-01-30T07:05:58Z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2052-12.1.0.23125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0x0101002DB48EE83D9310469D0C9D2B1A6D465F</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